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9B" w:rsidRPr="003F4464" w:rsidRDefault="00786C9B" w:rsidP="00786C9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3F4464">
        <w:rPr>
          <w:rFonts w:ascii="Bookman Old Style" w:hAnsi="Bookman Old Style"/>
          <w:b/>
          <w:sz w:val="24"/>
          <w:szCs w:val="24"/>
        </w:rPr>
        <w:t>TURISTIČKO-UGOSTITELJSKA ŠKOLA</w:t>
      </w:r>
    </w:p>
    <w:p w:rsidR="00786C9B" w:rsidRPr="003F4464" w:rsidRDefault="00786C9B" w:rsidP="00786C9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3F4464">
        <w:rPr>
          <w:rFonts w:ascii="Bookman Old Style" w:hAnsi="Bookman Old Style"/>
          <w:b/>
          <w:sz w:val="24"/>
          <w:szCs w:val="24"/>
        </w:rPr>
        <w:t xml:space="preserve">         Š I B E N I K</w:t>
      </w:r>
    </w:p>
    <w:p w:rsidR="00786C9B" w:rsidRPr="003F4464" w:rsidRDefault="00786C9B" w:rsidP="00786C9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4464">
        <w:rPr>
          <w:rFonts w:ascii="Bookman Old Style" w:hAnsi="Bookman Old Style"/>
          <w:sz w:val="24"/>
          <w:szCs w:val="24"/>
        </w:rPr>
        <w:t xml:space="preserve">Ante </w:t>
      </w:r>
      <w:proofErr w:type="spellStart"/>
      <w:r w:rsidRPr="003F4464">
        <w:rPr>
          <w:rFonts w:ascii="Bookman Old Style" w:hAnsi="Bookman Old Style"/>
          <w:sz w:val="24"/>
          <w:szCs w:val="24"/>
        </w:rPr>
        <w:t>Šupuka</w:t>
      </w:r>
      <w:proofErr w:type="spellEnd"/>
      <w:r w:rsidRPr="003F4464">
        <w:rPr>
          <w:rFonts w:ascii="Bookman Old Style" w:hAnsi="Bookman Old Style"/>
          <w:sz w:val="24"/>
          <w:szCs w:val="24"/>
        </w:rPr>
        <w:t xml:space="preserve"> 29</w:t>
      </w:r>
    </w:p>
    <w:p w:rsidR="00786C9B" w:rsidRPr="003F4464" w:rsidRDefault="00786C9B" w:rsidP="00786C9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4464">
        <w:rPr>
          <w:rFonts w:ascii="Bookman Old Style" w:hAnsi="Bookman Old Style"/>
          <w:sz w:val="24"/>
          <w:szCs w:val="24"/>
        </w:rPr>
        <w:t>Tel.022/336 100; Fax: 022/310 136</w:t>
      </w:r>
    </w:p>
    <w:p w:rsidR="00786C9B" w:rsidRPr="003F4464" w:rsidRDefault="00786C9B" w:rsidP="00786C9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4464">
        <w:rPr>
          <w:rFonts w:ascii="Bookman Old Style" w:hAnsi="Bookman Old Style"/>
          <w:sz w:val="24"/>
          <w:szCs w:val="24"/>
        </w:rPr>
        <w:t>e-mail: tus.r@si.t-com.hr</w:t>
      </w:r>
    </w:p>
    <w:p w:rsidR="00786C9B" w:rsidRPr="003F4464" w:rsidRDefault="00786C9B" w:rsidP="00786C9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4464">
        <w:rPr>
          <w:rFonts w:ascii="Bookman Old Style" w:hAnsi="Bookman Old Style"/>
          <w:sz w:val="24"/>
          <w:szCs w:val="24"/>
        </w:rPr>
        <w:t>IBAN:HR1523900011500209555</w:t>
      </w:r>
    </w:p>
    <w:p w:rsidR="00786C9B" w:rsidRPr="003F4464" w:rsidRDefault="00786C9B" w:rsidP="00786C9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3F4464">
        <w:rPr>
          <w:rFonts w:ascii="Bookman Old Style" w:hAnsi="Bookman Old Style"/>
          <w:b/>
          <w:sz w:val="24"/>
          <w:szCs w:val="24"/>
        </w:rPr>
        <w:t>OIB: 16857645288</w:t>
      </w:r>
    </w:p>
    <w:p w:rsidR="00786C9B" w:rsidRPr="00937CC5" w:rsidRDefault="00786C9B" w:rsidP="00786C9B">
      <w:pPr>
        <w:spacing w:before="60" w:after="60" w:line="240" w:lineRule="auto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Šibenik, </w:t>
      </w:r>
      <w:r w:rsidR="00CE6B5B">
        <w:rPr>
          <w:rFonts w:ascii="Bookman Old Style" w:hAnsi="Bookman Old Style" w:cs="Calibri"/>
          <w:b/>
        </w:rPr>
        <w:t>30</w:t>
      </w:r>
      <w:r w:rsidR="00C56A6A">
        <w:rPr>
          <w:rFonts w:ascii="Bookman Old Style" w:hAnsi="Bookman Old Style" w:cs="Calibri"/>
          <w:b/>
        </w:rPr>
        <w:t>.</w:t>
      </w:r>
      <w:r w:rsidR="00830C3B">
        <w:rPr>
          <w:rFonts w:ascii="Bookman Old Style" w:hAnsi="Bookman Old Style" w:cs="Calibri"/>
          <w:b/>
        </w:rPr>
        <w:t>ožujka</w:t>
      </w:r>
      <w:r w:rsidRPr="00937CC5">
        <w:rPr>
          <w:rFonts w:ascii="Bookman Old Style" w:hAnsi="Bookman Old Style" w:cs="Calibri"/>
          <w:b/>
        </w:rPr>
        <w:t xml:space="preserve"> 202</w:t>
      </w:r>
      <w:r w:rsidR="00830C3B">
        <w:rPr>
          <w:rFonts w:ascii="Bookman Old Style" w:hAnsi="Bookman Old Style" w:cs="Calibri"/>
          <w:b/>
        </w:rPr>
        <w:t>6</w:t>
      </w:r>
      <w:r w:rsidRPr="00937CC5">
        <w:rPr>
          <w:rFonts w:ascii="Bookman Old Style" w:hAnsi="Bookman Old Style" w:cs="Calibri"/>
          <w:b/>
        </w:rPr>
        <w:t>.</w:t>
      </w:r>
    </w:p>
    <w:p w:rsidR="00786C9B" w:rsidRDefault="00786C9B" w:rsidP="00786C9B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937CC5">
        <w:rPr>
          <w:rFonts w:ascii="Bookman Old Style" w:hAnsi="Bookman Old Style" w:cs="Calibri"/>
          <w:sz w:val="24"/>
          <w:szCs w:val="24"/>
        </w:rPr>
        <w:t>Klasa</w:t>
      </w:r>
      <w:r w:rsidR="00B70029">
        <w:rPr>
          <w:rFonts w:ascii="Bookman Old Style" w:hAnsi="Bookman Old Style" w:cs="Calibri"/>
          <w:sz w:val="24"/>
          <w:szCs w:val="24"/>
        </w:rPr>
        <w:t>:400-04/2</w:t>
      </w:r>
      <w:r w:rsidR="00DA375A">
        <w:rPr>
          <w:rFonts w:ascii="Bookman Old Style" w:hAnsi="Bookman Old Style" w:cs="Calibri"/>
          <w:sz w:val="24"/>
          <w:szCs w:val="24"/>
        </w:rPr>
        <w:t>6</w:t>
      </w:r>
      <w:r w:rsidR="00B70029">
        <w:rPr>
          <w:rFonts w:ascii="Bookman Old Style" w:hAnsi="Bookman Old Style" w:cs="Calibri"/>
          <w:sz w:val="24"/>
          <w:szCs w:val="24"/>
        </w:rPr>
        <w:t>-01/</w:t>
      </w:r>
      <w:r w:rsidR="00DA375A">
        <w:rPr>
          <w:rFonts w:ascii="Bookman Old Style" w:hAnsi="Bookman Old Style" w:cs="Calibri"/>
          <w:sz w:val="24"/>
          <w:szCs w:val="24"/>
        </w:rPr>
        <w:t>2</w:t>
      </w:r>
    </w:p>
    <w:p w:rsidR="00786C9B" w:rsidRDefault="00786C9B" w:rsidP="00786C9B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Urbroj:2182-46-01-2</w:t>
      </w:r>
      <w:r w:rsidR="00DA375A">
        <w:rPr>
          <w:rFonts w:ascii="Bookman Old Style" w:hAnsi="Bookman Old Style" w:cs="Calibri"/>
          <w:sz w:val="24"/>
          <w:szCs w:val="24"/>
        </w:rPr>
        <w:t>6</w:t>
      </w:r>
      <w:r>
        <w:rPr>
          <w:rFonts w:ascii="Bookman Old Style" w:hAnsi="Bookman Old Style" w:cs="Calibri"/>
          <w:sz w:val="24"/>
          <w:szCs w:val="24"/>
        </w:rPr>
        <w:t>-1</w:t>
      </w:r>
    </w:p>
    <w:p w:rsidR="00786C9B" w:rsidRPr="00937CC5" w:rsidRDefault="00786C9B" w:rsidP="00786C9B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937CC5">
        <w:rPr>
          <w:rFonts w:ascii="Bookman Old Style" w:hAnsi="Bookman Old Style" w:cs="Calibri"/>
          <w:sz w:val="24"/>
          <w:szCs w:val="24"/>
        </w:rPr>
        <w:t xml:space="preserve"> </w:t>
      </w:r>
    </w:p>
    <w:p w:rsidR="00786C9B" w:rsidRPr="003F4464" w:rsidRDefault="00786C9B" w:rsidP="00786C9B">
      <w:pPr>
        <w:spacing w:before="60" w:after="60"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F4464">
        <w:rPr>
          <w:rFonts w:ascii="Bookman Old Style" w:hAnsi="Bookman Old Style" w:cs="Calibri"/>
          <w:b/>
          <w:sz w:val="24"/>
          <w:szCs w:val="24"/>
        </w:rPr>
        <w:t xml:space="preserve">GODIŠNJI IZVJEŠTAJ O IZVRŠENJU FINANCIJSKOG PLANA </w:t>
      </w:r>
    </w:p>
    <w:p w:rsidR="00786C9B" w:rsidRPr="003F4464" w:rsidRDefault="00786C9B" w:rsidP="00786C9B">
      <w:pPr>
        <w:spacing w:before="60" w:after="60"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F4464">
        <w:rPr>
          <w:rFonts w:ascii="Bookman Old Style" w:hAnsi="Bookman Old Style" w:cs="Calibri"/>
          <w:b/>
          <w:sz w:val="24"/>
          <w:szCs w:val="24"/>
        </w:rPr>
        <w:t>ZA 202</w:t>
      </w:r>
      <w:r w:rsidR="009E69B9">
        <w:rPr>
          <w:rFonts w:ascii="Bookman Old Style" w:hAnsi="Bookman Old Style" w:cs="Calibri"/>
          <w:b/>
          <w:sz w:val="24"/>
          <w:szCs w:val="24"/>
        </w:rPr>
        <w:t>5</w:t>
      </w:r>
      <w:r w:rsidRPr="003F4464">
        <w:rPr>
          <w:rFonts w:ascii="Bookman Old Style" w:hAnsi="Bookman Old Style" w:cs="Calibri"/>
          <w:b/>
          <w:sz w:val="24"/>
          <w:szCs w:val="24"/>
        </w:rPr>
        <w:t>. GODINU</w:t>
      </w:r>
    </w:p>
    <w:p w:rsidR="00786C9B" w:rsidRDefault="00786C9B" w:rsidP="00786C9B">
      <w:pPr>
        <w:pStyle w:val="Odlomakpopisa"/>
        <w:numPr>
          <w:ilvl w:val="0"/>
          <w:numId w:val="3"/>
        </w:num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3F4464">
        <w:rPr>
          <w:rFonts w:ascii="Bookman Old Style" w:hAnsi="Bookman Old Style" w:cs="Calibri"/>
          <w:b/>
          <w:sz w:val="24"/>
          <w:szCs w:val="24"/>
        </w:rPr>
        <w:t>OPĆI DIO</w:t>
      </w:r>
    </w:p>
    <w:p w:rsidR="00786C9B" w:rsidRPr="003F4464" w:rsidRDefault="00786C9B" w:rsidP="00786C9B">
      <w:pPr>
        <w:pStyle w:val="Odlomakpopisa"/>
        <w:spacing w:before="60" w:after="60" w:line="240" w:lineRule="auto"/>
        <w:ind w:left="36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786C9B" w:rsidRPr="003F4464" w:rsidRDefault="00786C9B" w:rsidP="00786C9B">
      <w:pPr>
        <w:pStyle w:val="Odlomakpopisa"/>
        <w:numPr>
          <w:ilvl w:val="1"/>
          <w:numId w:val="3"/>
        </w:num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3F4464">
        <w:rPr>
          <w:rFonts w:ascii="Bookman Old Style" w:hAnsi="Bookman Old Style" w:cs="Calibri"/>
          <w:b/>
          <w:sz w:val="24"/>
          <w:szCs w:val="24"/>
        </w:rPr>
        <w:t>Sažetak Računa prihoda i rashoda i Računa financiranja</w:t>
      </w:r>
    </w:p>
    <w:p w:rsidR="00A71812" w:rsidRPr="00A71812" w:rsidRDefault="00A71812" w:rsidP="00A71812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392307" w:rsidRPr="00392307" w:rsidTr="00392307">
        <w:trPr>
          <w:trHeight w:val="255"/>
        </w:trPr>
        <w:tc>
          <w:tcPr>
            <w:tcW w:w="10035" w:type="dxa"/>
            <w:shd w:val="clear" w:color="auto" w:fill="auto"/>
          </w:tcPr>
          <w:p w:rsidR="00392307" w:rsidRDefault="00392307" w:rsidP="00392307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392307" w:rsidRPr="00392307" w:rsidRDefault="00392307" w:rsidP="00392307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392307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A) SAŽETAK RAČUNA PRIHODA I RASHODA</w:t>
            </w:r>
          </w:p>
        </w:tc>
      </w:tr>
    </w:tbl>
    <w:p w:rsidR="00392307" w:rsidRPr="00392307" w:rsidRDefault="00392307" w:rsidP="00392307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392307" w:rsidRPr="00392307" w:rsidRDefault="00392307" w:rsidP="00392307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860"/>
      </w:tblGrid>
      <w:tr w:rsidR="00B965D3" w:rsidRPr="00B965D3" w:rsidTr="00B965D3">
        <w:trPr>
          <w:trHeight w:val="72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B965D3" w:rsidRPr="00B965D3" w:rsidTr="00B965D3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B965D3" w:rsidRPr="00B965D3" w:rsidTr="00B965D3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1.327.317,51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1.401.242,00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1.374.783,48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98,11</w:t>
            </w:r>
          </w:p>
        </w:tc>
      </w:tr>
      <w:tr w:rsidR="00B965D3" w:rsidRPr="00B965D3" w:rsidTr="00B965D3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1.327.317,51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1.401.242,00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1.374.783,48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98,11</w:t>
            </w:r>
          </w:p>
        </w:tc>
      </w:tr>
      <w:tr w:rsidR="00B965D3" w:rsidRPr="00B965D3" w:rsidTr="00B965D3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965D3" w:rsidRPr="00B965D3" w:rsidTr="00B965D3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1.326.867,47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1.440.542,00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1.507.832,08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104,67</w:t>
            </w:r>
          </w:p>
        </w:tc>
      </w:tr>
      <w:tr w:rsidR="00B965D3" w:rsidRPr="00B965D3" w:rsidTr="00B965D3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1.322.343,19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1.430.750,00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1.499.258,46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104,79</w:t>
            </w:r>
          </w:p>
        </w:tc>
      </w:tr>
      <w:tr w:rsidR="00B965D3" w:rsidRPr="00B965D3" w:rsidTr="00B965D3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4.524,28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9.792,00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8.573,62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87,56</w:t>
            </w:r>
          </w:p>
        </w:tc>
      </w:tr>
      <w:tr w:rsidR="00B965D3" w:rsidRPr="00B965D3" w:rsidTr="00B965D3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-39.300,00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-133.048,60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B965D3" w:rsidRPr="00B965D3" w:rsidRDefault="00B965D3" w:rsidP="00B965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965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338,55</w:t>
            </w:r>
          </w:p>
        </w:tc>
      </w:tr>
    </w:tbl>
    <w:p w:rsidR="00A71812" w:rsidRPr="00A71812" w:rsidRDefault="00A71812" w:rsidP="00A71812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A71812" w:rsidRPr="00A71812" w:rsidTr="00A71812">
        <w:trPr>
          <w:trHeight w:val="255"/>
        </w:trPr>
        <w:tc>
          <w:tcPr>
            <w:tcW w:w="10035" w:type="dxa"/>
            <w:shd w:val="clear" w:color="auto" w:fill="auto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B) SAŽETAK RAČUNA FINANCIRANJA</w:t>
            </w:r>
          </w:p>
        </w:tc>
      </w:tr>
    </w:tbl>
    <w:p w:rsidR="00A71812" w:rsidRPr="00A71812" w:rsidRDefault="00A71812" w:rsidP="00A71812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A71812" w:rsidRPr="00A71812" w:rsidRDefault="00A71812" w:rsidP="00A71812">
      <w:pPr>
        <w:spacing w:after="0" w:line="15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A71812" w:rsidRPr="00A71812" w:rsidTr="00A71812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B965D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</w:r>
            <w:r w:rsidR="00B965D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31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.</w:t>
            </w:r>
            <w:r w:rsidR="00B965D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B965D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</w:t>
            </w:r>
            <w:r w:rsidR="00B965D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.</w:t>
            </w:r>
            <w:r w:rsidR="00B965D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A71812" w:rsidRPr="00A71812" w:rsidTr="00A71812">
        <w:trPr>
          <w:trHeight w:val="27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A71812" w:rsidRPr="00A71812" w:rsidTr="00A7181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1812" w:rsidRPr="00A71812" w:rsidTr="00A7181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71812" w:rsidRPr="00A71812" w:rsidTr="00A7181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A71812" w:rsidRPr="00A71812" w:rsidRDefault="00A71812" w:rsidP="00A71812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A71812" w:rsidRPr="00A71812" w:rsidRDefault="00A71812" w:rsidP="00A71812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A71812" w:rsidRPr="00A71812" w:rsidTr="00A71812">
        <w:trPr>
          <w:trHeight w:val="255"/>
        </w:trPr>
        <w:tc>
          <w:tcPr>
            <w:tcW w:w="10035" w:type="dxa"/>
            <w:shd w:val="clear" w:color="auto" w:fill="auto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lastRenderedPageBreak/>
              <w:t>C) PRENESENI VIŠAK ILI PRENESENI MANJAK</w:t>
            </w:r>
          </w:p>
        </w:tc>
      </w:tr>
    </w:tbl>
    <w:p w:rsidR="00A71812" w:rsidRPr="00A71812" w:rsidRDefault="00A71812" w:rsidP="00A71812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430"/>
        <w:gridCol w:w="430"/>
      </w:tblGrid>
      <w:tr w:rsidR="003D5D41" w:rsidRPr="003D5D41" w:rsidTr="003D5D41">
        <w:trPr>
          <w:trHeight w:val="73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3D5D41" w:rsidRPr="003D5D41" w:rsidTr="003D5D41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3D5D41" w:rsidRPr="003D5D41" w:rsidTr="003D5D4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D5D41" w:rsidRPr="003D5D41" w:rsidRDefault="0010313F" w:rsidP="00103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38.849,40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D5D41" w:rsidRPr="003D5D41" w:rsidRDefault="0010313F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16.244,39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3D5D41" w:rsidRPr="003D5D41" w:rsidRDefault="00840AB3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41,81</w:t>
            </w:r>
          </w:p>
        </w:tc>
      </w:tr>
      <w:tr w:rsidR="003D5D41" w:rsidRPr="003D5D41" w:rsidTr="003D5D4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D5D41" w:rsidRPr="003D5D41" w:rsidRDefault="0010313F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450,04</w:t>
            </w:r>
            <w:r w:rsidR="003D5D41"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D5D41" w:rsidRPr="003D5D41" w:rsidRDefault="0010313F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-133.048,60</w:t>
            </w:r>
            <w:r w:rsidR="003D5D41"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D5D41" w:rsidRPr="003D5D41" w:rsidTr="003D5D41">
        <w:trPr>
          <w:trHeight w:val="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D5D41" w:rsidRPr="003D5D41" w:rsidTr="003D5D41">
        <w:trPr>
          <w:trHeight w:val="51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10313F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39.299,44</w:t>
            </w:r>
            <w:r w:rsidR="003D5D41"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10313F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-116.804,21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41" w:rsidRPr="003D5D41" w:rsidRDefault="003D5D41" w:rsidP="003D5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5D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A71812" w:rsidRDefault="00A71812" w:rsidP="00A71812">
      <w:pPr>
        <w:spacing w:after="0" w:line="135" w:lineRule="exact"/>
        <w:rPr>
          <w:rFonts w:ascii="Calibri" w:eastAsia="Calibri" w:hAnsi="Calibri" w:cs="Calibri"/>
          <w:szCs w:val="20"/>
          <w:lang w:eastAsia="hr-HR"/>
        </w:rPr>
      </w:pPr>
    </w:p>
    <w:p w:rsidR="003D5D41" w:rsidRPr="00A71812" w:rsidRDefault="003D5D41" w:rsidP="00A71812">
      <w:pPr>
        <w:spacing w:after="0" w:line="135" w:lineRule="exact"/>
        <w:rPr>
          <w:rFonts w:ascii="Calibri" w:eastAsia="Calibri" w:hAnsi="Calibri" w:cs="Calibri"/>
          <w:szCs w:val="20"/>
          <w:lang w:eastAsia="hr-HR"/>
        </w:rPr>
      </w:pPr>
    </w:p>
    <w:p w:rsidR="00A71812" w:rsidRPr="00A71812" w:rsidRDefault="00A71812" w:rsidP="00A71812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9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A71812" w:rsidRPr="00A71812" w:rsidTr="00E65B36">
        <w:trPr>
          <w:trHeight w:val="1065"/>
        </w:trPr>
        <w:tc>
          <w:tcPr>
            <w:tcW w:w="9690" w:type="dxa"/>
            <w:shd w:val="clear" w:color="auto" w:fill="auto"/>
          </w:tcPr>
          <w:p w:rsidR="00A71812" w:rsidRPr="00A71812" w:rsidRDefault="00A71812" w:rsidP="00A71812">
            <w:pPr>
              <w:spacing w:after="0" w:line="240" w:lineRule="auto"/>
              <w:ind w:left="28" w:right="28"/>
              <w:jc w:val="both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Napomena:</w:t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</w:r>
            <w:r w:rsidRPr="00A71812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:rsidR="00A71812" w:rsidRPr="00A71812" w:rsidRDefault="00A71812" w:rsidP="00A71812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7E4E95" w:rsidRDefault="007E4E95" w:rsidP="007E4E95">
      <w:pPr>
        <w:pStyle w:val="Odlomakpopisa"/>
        <w:spacing w:before="60" w:after="60" w:line="240" w:lineRule="auto"/>
        <w:ind w:left="792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4114EA" w:rsidRPr="007E4E95" w:rsidRDefault="004114EA" w:rsidP="007E4E95">
      <w:pPr>
        <w:pStyle w:val="Odlomakpopisa"/>
        <w:numPr>
          <w:ilvl w:val="1"/>
          <w:numId w:val="3"/>
        </w:num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7E4E95">
        <w:rPr>
          <w:rFonts w:ascii="Bookman Old Style" w:hAnsi="Bookman Old Style" w:cs="Calibri"/>
          <w:b/>
          <w:sz w:val="24"/>
          <w:szCs w:val="24"/>
        </w:rPr>
        <w:t>Račun prihoda i rashoda</w:t>
      </w:r>
    </w:p>
    <w:tbl>
      <w:tblPr>
        <w:tblW w:w="10209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  <w:gridCol w:w="159"/>
      </w:tblGrid>
      <w:tr w:rsidR="00A71812" w:rsidRPr="00A71812" w:rsidTr="003D5D41">
        <w:trPr>
          <w:trHeight w:val="270"/>
        </w:trPr>
        <w:tc>
          <w:tcPr>
            <w:tcW w:w="10209" w:type="dxa"/>
            <w:gridSpan w:val="2"/>
            <w:shd w:val="clear" w:color="auto" w:fill="auto"/>
          </w:tcPr>
          <w:p w:rsidR="001251F0" w:rsidRDefault="004114EA" w:rsidP="00A71812">
            <w:pPr>
              <w:spacing w:after="0" w:line="240" w:lineRule="auto"/>
              <w:ind w:left="28" w:right="28"/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 xml:space="preserve">     </w:t>
            </w:r>
          </w:p>
          <w:p w:rsidR="00A71812" w:rsidRPr="00A71812" w:rsidRDefault="00A71812" w:rsidP="00A7181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  <w:r w:rsidRPr="00A71812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  <w:t>1.2.1. IZVJEŠTAJ O PRIHODIMA I RASHODIMA PREMA EKONOMSKOJ KLASIFIKACIJI</w:t>
            </w:r>
          </w:p>
        </w:tc>
      </w:tr>
      <w:tr w:rsidR="00F07A35" w:rsidRPr="00F07A35" w:rsidTr="003D5D41">
        <w:trPr>
          <w:gridAfter w:val="1"/>
          <w:wAfter w:w="157" w:type="dxa"/>
          <w:trHeight w:val="300"/>
        </w:trPr>
        <w:tc>
          <w:tcPr>
            <w:tcW w:w="10050" w:type="dxa"/>
            <w:shd w:val="clear" w:color="auto" w:fill="auto"/>
          </w:tcPr>
          <w:tbl>
            <w:tblPr>
              <w:tblW w:w="9980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340"/>
              <w:gridCol w:w="1500"/>
              <w:gridCol w:w="1600"/>
              <w:gridCol w:w="1480"/>
              <w:gridCol w:w="709"/>
              <w:gridCol w:w="771"/>
            </w:tblGrid>
            <w:tr w:rsidR="003D5D41" w:rsidRPr="003D5D41" w:rsidTr="000A6DA5">
              <w:trPr>
                <w:trHeight w:val="645"/>
              </w:trPr>
              <w:tc>
                <w:tcPr>
                  <w:tcW w:w="39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31.12.2025.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3D5D41" w:rsidRPr="003D5D41" w:rsidTr="000A6DA5">
              <w:trPr>
                <w:trHeight w:val="195"/>
              </w:trPr>
              <w:tc>
                <w:tcPr>
                  <w:tcW w:w="39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UKUPNO PRIHODI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1.327.317,51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1.401.242,00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1.374.783,48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103,58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98,11</w:t>
                  </w:r>
                </w:p>
              </w:tc>
            </w:tr>
            <w:tr w:rsidR="003D5D41" w:rsidRPr="003D5D41" w:rsidTr="000A6DA5">
              <w:trPr>
                <w:trHeight w:val="36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1.327.317,51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1.401.242,00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1.374.783,48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103,58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98,11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1.193.123,58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1.253.604,00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1.233.742,66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103,4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98,42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1.126.089,18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1.233.062,22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6361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1.125.513,59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1.231.928,68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109,45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6362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575,59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1.133,54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196,94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638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temeljem prijenosa EU sredstava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67.034,40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680,44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1,02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6381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Tekuće pomoći temeljem prijenosa EU sredstava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67.034,40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680,44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1,02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8.852,61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8.900,00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10.840,00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122,45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121,8</w:t>
                  </w:r>
                  <w:r w:rsidR="00B54A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Prihodi po posebnim propisima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8.852,61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10.840,00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122,45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64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6526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 xml:space="preserve">Ostali nespomenuti prihodi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8.852,61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10.840,00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122,45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prodaje proizvoda i robe te pruženih usluga, prihodi od donacija te povrati po protestiranim jamstvima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16.123,13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16.749,00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17.314,22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107,39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103,37</w:t>
                  </w:r>
                </w:p>
              </w:tc>
            </w:tr>
            <w:tr w:rsidR="003D5D41" w:rsidRPr="003D5D41" w:rsidTr="000A6DA5">
              <w:trPr>
                <w:trHeight w:val="449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Prihodi od prodaje proizvoda i robe te pruženih usluga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3.740,41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3.221,50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86,13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6615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Prihodi od pruženih usluga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3.740,41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3.221,50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86,13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64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663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Donacije od pravnih i fizičkih osoba izvan općeg proračuna te povrat donacija i kapitalnih pomoći po protestiranim jamstvima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12.382,72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14.092,72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113,81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3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6631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12.382,72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14.092,72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113,81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109.218,19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121.989,00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112.886,60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103,36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92,54</w:t>
                  </w:r>
                </w:p>
              </w:tc>
            </w:tr>
            <w:tr w:rsidR="003D5D41" w:rsidRPr="003D5D41" w:rsidTr="000A6DA5">
              <w:trPr>
                <w:trHeight w:val="66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Prihodi iz nadležnog proračuna za financiranje redovne djelatnosti proračunskih korisnika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109.218,19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112.886,60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103,36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Prihodi iz nadležnog proračuna za financiranje rashoda poslovanja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105.265,19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104.895,60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99,65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645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Prihodi iz nadležnog proračuna za financiranje rashoda za nabavu nefinancijske imovine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3.953,00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7.991,00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202,15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645"/>
              </w:trPr>
              <w:tc>
                <w:tcPr>
                  <w:tcW w:w="39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31.12.2024.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Ostvarenje / izvršenje 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31.12.2025.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 4 / 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3D5D41" w:rsidRPr="003D5D41" w:rsidTr="000A6DA5">
              <w:trPr>
                <w:trHeight w:val="210"/>
              </w:trPr>
              <w:tc>
                <w:tcPr>
                  <w:tcW w:w="39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1.326.867,47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1.440.542,00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1.507.832,08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113,64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104,67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1.322.343,19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1.430.750,00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1.499.258,46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113,38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104,79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1.117.825,78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1.245.150,00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1.331.107,82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119,08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106,9</w:t>
                  </w:r>
                  <w:r w:rsidR="00B54A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Plaće (Bruto)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926.367,62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1.103.353,77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119,11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Plaće za redovan rad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910.986,32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1.088.461,23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119,48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3113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Plaće za prekovremeni rad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15.381,30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14.892,54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96,82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38.607,49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45.700,66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118,37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38.607,49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45.700,66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118,37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152.850,67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182.053,39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119,11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3132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Doprinosi za obvezno zdravstveno osiguranje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152.850,67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182.053,39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119,11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203.797,41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184.724,00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167.282,14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82,08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90,56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47.655,50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40.168,59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84,29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33.401,90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24.843,39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74,38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za prijevoz, za rad na terenu i odvojeni život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12.576,19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14.070,70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111,88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1.102,91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1.131,50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102,59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3214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Ostale naknade troškova zaposlenima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574,50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123,00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21,41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39.668,95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39.437,17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99,42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13.028,07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12.223,19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93,82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3222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6.208,60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6.416,71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103,35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3223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Energija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13.496,38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15.578,65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115,43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3224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1.466,31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1.101,57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75,13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4.392,40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3.570,61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81,29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3227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Službena, radna i zaštitna odjeća i obuća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1.077,19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546,44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50,73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27.837,11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34.783,54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124,95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3.382,55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4.131,48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122,14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Usluge tekućeg i investicijskog održavanja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6.970,24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6.861,03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98,43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Komunalne usluge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5.899,84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7.301,06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123,75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Zakupnine i najamnine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4.405,92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4.867,17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110,47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3236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Zdravstvene i veterinarske usluge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2.265,04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2.581,90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113,99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2.523,74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5.513,49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218,47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3238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2.296,98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2.298,33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92,80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1.229,08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1324,44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57.269,39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25.299,00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44,18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57.269,39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25.299,00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44,18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31.366,46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27.593,84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87,97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3292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Premije osiguranja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843,81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464,52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55,05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3293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Reprezentacija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2.515,54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1.824,20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72,52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3294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Članarine i norme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662,00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3295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Pristojbe i naknade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3.310,32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1.720,00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51,96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24.039,79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22.923,12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95,35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869,00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868,50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120,62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99,94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381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720,00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868,50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120,62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3812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Tekuće donacije u naravi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720,00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868,50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120,62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4.524,28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9.792,00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8.573,62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189,5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87,56</w:t>
                  </w:r>
                </w:p>
              </w:tc>
            </w:tr>
            <w:tr w:rsidR="003D5D41" w:rsidRPr="003D5D41" w:rsidTr="000A6DA5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4.524,28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9.792,00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8.573,62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189,5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87,56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422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3.953,00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7.991,00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202,15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4.871,00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4223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Oprema za održavanje i zaštitu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3.953,00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3.120,00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78,93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424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Knjige, umjetnička djela i ostale izložbene vrijednosti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571,28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582,62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101,99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3D5D41" w:rsidRPr="003D5D41" w:rsidTr="000A6DA5">
              <w:trPr>
                <w:trHeight w:val="397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4241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Knjige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571,28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582,62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101,99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5D41" w:rsidRPr="003D5D41" w:rsidRDefault="003D5D41" w:rsidP="003D5D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D5D4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</w:tbl>
          <w:p w:rsidR="00E65B36" w:rsidRDefault="00E65B36" w:rsidP="003D5D41">
            <w:pPr>
              <w:spacing w:before="28" w:after="28" w:line="240" w:lineRule="auto"/>
              <w:ind w:right="850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E65B36" w:rsidRDefault="00E65B36" w:rsidP="00F07A35">
            <w:pPr>
              <w:spacing w:before="28" w:after="28" w:line="240" w:lineRule="auto"/>
              <w:ind w:left="850"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F07A35" w:rsidRPr="00F07A35" w:rsidRDefault="00F07A35" w:rsidP="00F07A35">
            <w:pPr>
              <w:spacing w:before="28" w:after="28" w:line="240" w:lineRule="auto"/>
              <w:ind w:left="850"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F07A35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lastRenderedPageBreak/>
              <w:t>1.2.2. IZVJEŠTAJ O PRIHODIMA I RASHODIMA PREMA IZVORIMA FINANCIRANJA</w:t>
            </w:r>
          </w:p>
        </w:tc>
      </w:tr>
    </w:tbl>
    <w:p w:rsidR="00F07A35" w:rsidRPr="00F07A35" w:rsidRDefault="00F07A35" w:rsidP="00F07A3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571"/>
        <w:gridCol w:w="1747"/>
        <w:gridCol w:w="1787"/>
        <w:gridCol w:w="1808"/>
        <w:gridCol w:w="783"/>
        <w:gridCol w:w="662"/>
        <w:gridCol w:w="254"/>
        <w:gridCol w:w="496"/>
      </w:tblGrid>
      <w:tr w:rsidR="00F07A35" w:rsidRPr="00F07A35" w:rsidTr="00AF4885">
        <w:trPr>
          <w:gridAfter w:val="1"/>
          <w:wAfter w:w="496" w:type="dxa"/>
          <w:trHeight w:val="316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F07A35" w:rsidRPr="00F07A35" w:rsidRDefault="00F07A35" w:rsidP="00F07A3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58"/>
        </w:trPr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226"/>
        </w:trPr>
        <w:tc>
          <w:tcPr>
            <w:tcW w:w="30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418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1.327.317,51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1.401.242,00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1.374.783,48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98,11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410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109.218,19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121.989,00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112.886,60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92,54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416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6.056,14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2.237,02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99,91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13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96.498,09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102.991,00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102.599,61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99,62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13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PREDFINANCIRANJE EU PROJEKATA IZ SR.ŠKŽ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6.663,96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16.759,00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8.049,97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48,03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3.740,41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4.137,00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3.221,50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77,87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3.740,41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4.137,00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3.221,50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77,87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POSEBNE NAMJENE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8.852,61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10.840,00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122,45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121,80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13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8.852,61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10.840,00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121,80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1.193.123,58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1.253.604,00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1.233.742,66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98,42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67.034,40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681,00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680,44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99,92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1.126.089,18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1.252.923,00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1.233.062,22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98,41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12.382,72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12.612,00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14.092,72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113,81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111,74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12.382,72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12.612,00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14.092,72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111,74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58"/>
        </w:trPr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226"/>
        </w:trPr>
        <w:tc>
          <w:tcPr>
            <w:tcW w:w="30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13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1.326.867,47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1.440.542,00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1.507.832,08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104,67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108.528,32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121.989,00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115.602,19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106,52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94,76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6.150,04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2.237,02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99,91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13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95.714,32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102.991,00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105.315,20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102,26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13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PREDFINANCIRANJE EU PROJEKATA IZ SR.ŠKŽ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6.663,96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16.759,00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8.049,97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48,03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3.672,92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4.920,00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3.546,07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96,55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72,07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255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3.672,92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4.920,00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3.546,07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72,07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POSEBNE NAMJENE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5.081,69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18.233,00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10.981,46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216,10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60,23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513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5.081,69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18.233,00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10.981,46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216,10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60,23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229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1.197.437,96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1.279.492,00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1.364.435,63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113,95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106,64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2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71.520,95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23.936,00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98,18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26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1.125.917,01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1.255.556,00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1.340.935,35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106,80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12.146,58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15.908,00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13.266,73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109,22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83,40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77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12.146,58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15.908,00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13.266,73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50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83,40</w:t>
            </w:r>
          </w:p>
        </w:tc>
      </w:tr>
      <w:tr w:rsidR="00950678" w:rsidRPr="00950678" w:rsidTr="00AF4885">
        <w:tblPrEx>
          <w:tblCellMar>
            <w:left w:w="108" w:type="dxa"/>
            <w:right w:w="108" w:type="dxa"/>
          </w:tblCellMar>
        </w:tblPrEx>
        <w:trPr>
          <w:gridAfter w:val="2"/>
          <w:wAfter w:w="750" w:type="dxa"/>
          <w:trHeight w:val="301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78" w:rsidRPr="00950678" w:rsidRDefault="00950678" w:rsidP="009506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678" w:rsidRPr="00950678" w:rsidRDefault="00950678" w:rsidP="0095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D73D4" w:rsidRPr="005D73D4" w:rsidTr="00AF4885">
        <w:trPr>
          <w:trHeight w:val="300"/>
        </w:trPr>
        <w:tc>
          <w:tcPr>
            <w:tcW w:w="10590" w:type="dxa"/>
            <w:gridSpan w:val="9"/>
            <w:shd w:val="clear" w:color="auto" w:fill="auto"/>
          </w:tcPr>
          <w:p w:rsidR="005D73D4" w:rsidRPr="005D73D4" w:rsidRDefault="005D73D4" w:rsidP="005D73D4">
            <w:pPr>
              <w:spacing w:before="28" w:after="28" w:line="240" w:lineRule="auto"/>
              <w:ind w:left="850"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5D73D4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1.2.3. IZVJEŠTAJ O RASHODIMA PREMA FUNKCIJSKOJ KLASIFIKACIJI</w:t>
            </w:r>
          </w:p>
        </w:tc>
      </w:tr>
    </w:tbl>
    <w:p w:rsidR="005D73D4" w:rsidRPr="005D73D4" w:rsidRDefault="005D73D4" w:rsidP="005D73D4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5D73D4" w:rsidRPr="005D73D4" w:rsidRDefault="005D73D4" w:rsidP="005D73D4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389"/>
        <w:gridCol w:w="1699"/>
        <w:gridCol w:w="1699"/>
        <w:gridCol w:w="1417"/>
        <w:gridCol w:w="991"/>
        <w:gridCol w:w="723"/>
      </w:tblGrid>
      <w:tr w:rsidR="00361BF9" w:rsidRPr="00361BF9" w:rsidTr="00361BF9">
        <w:trPr>
          <w:trHeight w:val="64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361BF9" w:rsidRPr="00361BF9" w:rsidTr="00361BF9">
        <w:trPr>
          <w:trHeight w:val="22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361BF9" w:rsidRPr="00361BF9" w:rsidTr="00361BF9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1.326.867,47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1.440.542,00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1.507.832,08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104,67</w:t>
            </w:r>
          </w:p>
        </w:tc>
      </w:tr>
      <w:tr w:rsidR="00361BF9" w:rsidRPr="00361BF9" w:rsidTr="00361BF9">
        <w:trPr>
          <w:trHeight w:val="3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1.326.867,47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1.440.542,00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1.507.832,08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104,67</w:t>
            </w:r>
          </w:p>
        </w:tc>
      </w:tr>
      <w:tr w:rsidR="00361BF9" w:rsidRPr="00361BF9" w:rsidTr="00361BF9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092 Srednjoškolsko 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1.326.867,47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1.440.542,00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1.507.832,08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BF9" w:rsidRPr="00361BF9" w:rsidRDefault="00361BF9" w:rsidP="00361B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61B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104,67</w:t>
            </w:r>
          </w:p>
        </w:tc>
      </w:tr>
    </w:tbl>
    <w:p w:rsidR="00F01625" w:rsidRPr="00361BF9" w:rsidRDefault="00F01625" w:rsidP="00361BF9">
      <w:p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01625" w:rsidRPr="00F01625" w:rsidRDefault="00F01625" w:rsidP="00F01625">
      <w:pPr>
        <w:pStyle w:val="Odlomakpopisa"/>
        <w:numPr>
          <w:ilvl w:val="1"/>
          <w:numId w:val="3"/>
        </w:num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F01625">
        <w:rPr>
          <w:rFonts w:ascii="Bookman Old Style" w:hAnsi="Bookman Old Style" w:cs="Calibri"/>
          <w:b/>
          <w:sz w:val="24"/>
          <w:szCs w:val="24"/>
        </w:rPr>
        <w:t>Račun financiranja</w:t>
      </w:r>
    </w:p>
    <w:p w:rsidR="00F01625" w:rsidRDefault="00F01625" w:rsidP="00F01625">
      <w:p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Turističko-ugostiteljska</w:t>
      </w:r>
      <w:r w:rsidRPr="003F4464">
        <w:rPr>
          <w:rFonts w:ascii="Bookman Old Style" w:hAnsi="Bookman Old Style" w:cstheme="minorHAnsi"/>
          <w:sz w:val="24"/>
          <w:szCs w:val="24"/>
        </w:rPr>
        <w:t xml:space="preserve"> škola Šibenik nije se zaduživala u izvještajnom razdoblju</w:t>
      </w:r>
      <w:r>
        <w:rPr>
          <w:rFonts w:ascii="Bookman Old Style" w:hAnsi="Bookman Old Style" w:cstheme="minorHAnsi"/>
          <w:sz w:val="24"/>
          <w:szCs w:val="24"/>
        </w:rPr>
        <w:t>.</w:t>
      </w:r>
    </w:p>
    <w:p w:rsidR="00F01625" w:rsidRPr="001409D4" w:rsidRDefault="00F01625" w:rsidP="00F01625">
      <w:pPr>
        <w:spacing w:after="0" w:line="240" w:lineRule="auto"/>
        <w:jc w:val="both"/>
        <w:rPr>
          <w:rFonts w:ascii="Bookman Old Style" w:hAnsi="Bookman Old Style" w:cs="Calibri"/>
          <w:b/>
          <w:sz w:val="20"/>
          <w:szCs w:val="20"/>
        </w:rPr>
      </w:pPr>
      <w:r w:rsidRPr="001409D4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hr-HR"/>
        </w:rPr>
        <w:t>1.3.1. IZVJEŠTAJ RAČUNA FINANCIRANJA PREMA EKONOMSKOJ KLASIFIKACIJI</w:t>
      </w:r>
    </w:p>
    <w:tbl>
      <w:tblPr>
        <w:tblStyle w:val="Reetkatablice"/>
        <w:tblW w:w="1021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2"/>
        <w:gridCol w:w="428"/>
        <w:gridCol w:w="396"/>
        <w:gridCol w:w="1763"/>
        <w:gridCol w:w="1214"/>
        <w:gridCol w:w="609"/>
        <w:gridCol w:w="1234"/>
        <w:gridCol w:w="1275"/>
        <w:gridCol w:w="1276"/>
        <w:gridCol w:w="851"/>
        <w:gridCol w:w="1134"/>
      </w:tblGrid>
      <w:tr w:rsidR="00F01625" w:rsidRPr="001409D4" w:rsidTr="009301B0">
        <w:trPr>
          <w:gridBefore w:val="1"/>
          <w:wBefore w:w="32" w:type="dxa"/>
          <w:trHeight w:val="330"/>
        </w:trPr>
        <w:tc>
          <w:tcPr>
            <w:tcW w:w="10180" w:type="dxa"/>
            <w:gridSpan w:val="10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1.3. RAČUN FINANCIRANJA</w:t>
            </w:r>
          </w:p>
        </w:tc>
      </w:tr>
      <w:tr w:rsidR="00F01625" w:rsidRPr="001409D4" w:rsidTr="009301B0">
        <w:trPr>
          <w:gridBefore w:val="1"/>
          <w:wBefore w:w="32" w:type="dxa"/>
          <w:trHeight w:val="483"/>
        </w:trPr>
        <w:tc>
          <w:tcPr>
            <w:tcW w:w="10180" w:type="dxa"/>
            <w:gridSpan w:val="10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1.3.1. IZVJEŠTAJ RAČUNA FINANCIRANJA PREMA EKONOMSKOJ KLASIFIKACIJI</w:t>
            </w:r>
          </w:p>
        </w:tc>
      </w:tr>
      <w:tr w:rsidR="00F01625" w:rsidRPr="001409D4" w:rsidTr="009E3CC2">
        <w:trPr>
          <w:gridBefore w:val="1"/>
          <w:wBefore w:w="32" w:type="dxa"/>
          <w:trHeight w:val="255"/>
        </w:trPr>
        <w:tc>
          <w:tcPr>
            <w:tcW w:w="824" w:type="dxa"/>
            <w:gridSpan w:val="2"/>
            <w:noWrap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noWrap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25" w:rsidRPr="001409D4" w:rsidTr="009E3CC2">
        <w:trPr>
          <w:gridBefore w:val="1"/>
          <w:wBefore w:w="32" w:type="dxa"/>
          <w:trHeight w:val="645"/>
        </w:trPr>
        <w:tc>
          <w:tcPr>
            <w:tcW w:w="3801" w:type="dxa"/>
            <w:gridSpan w:val="4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gridSpan w:val="2"/>
            <w:hideMark/>
          </w:tcPr>
          <w:p w:rsidR="00F01625" w:rsidRPr="002A700E" w:rsidRDefault="00F01625" w:rsidP="009E3CC2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Ostvarenje / izvršenje 3</w:t>
            </w:r>
            <w:r w:rsidR="009E3CC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E3CC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hideMark/>
          </w:tcPr>
          <w:p w:rsidR="00F01625" w:rsidRPr="002A700E" w:rsidRDefault="00F01625" w:rsidP="00F0162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Rebalans za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 godinu</w:t>
            </w:r>
          </w:p>
        </w:tc>
        <w:tc>
          <w:tcPr>
            <w:tcW w:w="1276" w:type="dxa"/>
            <w:hideMark/>
          </w:tcPr>
          <w:p w:rsidR="00F01625" w:rsidRPr="002A700E" w:rsidRDefault="00F01625" w:rsidP="009E3CC2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Ostvarenje / izvršenje 3</w:t>
            </w:r>
            <w:r w:rsidR="009E3CC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E3CC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A95B9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Indeks 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4 / 2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Indeks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4 / 3</w:t>
            </w:r>
          </w:p>
        </w:tc>
      </w:tr>
      <w:tr w:rsidR="00F01625" w:rsidRPr="001409D4" w:rsidTr="009E3CC2">
        <w:trPr>
          <w:gridBefore w:val="1"/>
          <w:wBefore w:w="32" w:type="dxa"/>
          <w:trHeight w:val="225"/>
        </w:trPr>
        <w:tc>
          <w:tcPr>
            <w:tcW w:w="3801" w:type="dxa"/>
            <w:gridSpan w:val="4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F01625" w:rsidRPr="001409D4" w:rsidTr="009E3CC2">
        <w:trPr>
          <w:gridBefore w:val="1"/>
          <w:wBefore w:w="32" w:type="dxa"/>
          <w:trHeight w:val="480"/>
        </w:trPr>
        <w:tc>
          <w:tcPr>
            <w:tcW w:w="824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84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01625" w:rsidRPr="001409D4" w:rsidTr="009E3CC2">
        <w:trPr>
          <w:gridBefore w:val="1"/>
          <w:wBefore w:w="32" w:type="dxa"/>
          <w:trHeight w:val="465"/>
        </w:trPr>
        <w:tc>
          <w:tcPr>
            <w:tcW w:w="824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2977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Primici od prodaje dionica i udjela u glavnici</w:t>
            </w:r>
          </w:p>
        </w:tc>
        <w:tc>
          <w:tcPr>
            <w:tcW w:w="184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01625" w:rsidRPr="001409D4" w:rsidTr="009E3CC2">
        <w:trPr>
          <w:gridBefore w:val="1"/>
          <w:wBefore w:w="32" w:type="dxa"/>
          <w:trHeight w:val="660"/>
        </w:trPr>
        <w:tc>
          <w:tcPr>
            <w:tcW w:w="824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831</w:t>
            </w:r>
          </w:p>
        </w:tc>
        <w:tc>
          <w:tcPr>
            <w:tcW w:w="2977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Primici od prodaje dionica i udjela u glavnici kreditnih i ostalih financijskih institucija u javnom sektoru</w:t>
            </w:r>
          </w:p>
        </w:tc>
        <w:tc>
          <w:tcPr>
            <w:tcW w:w="184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01625" w:rsidRPr="001409D4" w:rsidTr="009E3CC2">
        <w:trPr>
          <w:gridBefore w:val="1"/>
          <w:wBefore w:w="32" w:type="dxa"/>
          <w:trHeight w:val="465"/>
        </w:trPr>
        <w:tc>
          <w:tcPr>
            <w:tcW w:w="824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8312</w:t>
            </w:r>
          </w:p>
        </w:tc>
        <w:tc>
          <w:tcPr>
            <w:tcW w:w="2977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Dionice i udjeli u glavnici kreditnih institucija u javnom sektoru</w:t>
            </w:r>
          </w:p>
        </w:tc>
        <w:tc>
          <w:tcPr>
            <w:tcW w:w="184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F01625" w:rsidRPr="001409D4" w:rsidTr="009301B0">
        <w:trPr>
          <w:trHeight w:val="300"/>
        </w:trPr>
        <w:tc>
          <w:tcPr>
            <w:tcW w:w="102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625" w:rsidRDefault="00F01625" w:rsidP="009301B0">
            <w:pPr>
              <w:spacing w:before="60" w:after="6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  <w:p w:rsidR="00F01625" w:rsidRPr="001409D4" w:rsidRDefault="00F01625" w:rsidP="009301B0">
            <w:pPr>
              <w:spacing w:before="60" w:after="6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1409D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1.3.2. IZVJEŠTAJ RAČUNA FINANCIRANJA PREMA IZVORIMA FINANCIRANJA</w:t>
            </w:r>
          </w:p>
          <w:p w:rsidR="00F01625" w:rsidRPr="001409D4" w:rsidRDefault="00F01625" w:rsidP="009301B0">
            <w:pPr>
              <w:spacing w:before="60" w:after="60"/>
              <w:jc w:val="both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</w:tc>
      </w:tr>
      <w:tr w:rsidR="00F01625" w:rsidRPr="001409D4" w:rsidTr="009E3CC2">
        <w:trPr>
          <w:trHeight w:val="555"/>
        </w:trPr>
        <w:tc>
          <w:tcPr>
            <w:tcW w:w="2619" w:type="dxa"/>
            <w:gridSpan w:val="4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23" w:type="dxa"/>
            <w:gridSpan w:val="2"/>
            <w:hideMark/>
          </w:tcPr>
          <w:p w:rsidR="00F01625" w:rsidRPr="002A700E" w:rsidRDefault="00F01625" w:rsidP="00AF488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Ostvarenje / izvršenje 3</w:t>
            </w:r>
            <w:r w:rsidR="00AF488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F488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E03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09" w:type="dxa"/>
            <w:gridSpan w:val="2"/>
            <w:hideMark/>
          </w:tcPr>
          <w:p w:rsidR="00F01625" w:rsidRPr="002A700E" w:rsidRDefault="00F01625" w:rsidP="009E03F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Rebalans za 202</w:t>
            </w:r>
            <w:r w:rsidR="009E03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 godinu</w:t>
            </w:r>
          </w:p>
        </w:tc>
        <w:tc>
          <w:tcPr>
            <w:tcW w:w="1276" w:type="dxa"/>
            <w:hideMark/>
          </w:tcPr>
          <w:p w:rsidR="00F01625" w:rsidRPr="002A700E" w:rsidRDefault="00F01625" w:rsidP="00AF488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Ostvarenje / izvršenje 3</w:t>
            </w:r>
            <w:r w:rsidR="00AF488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F488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E03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Indeks 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4 / 2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Indeks</w:t>
            </w: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4 / 3</w:t>
            </w:r>
          </w:p>
        </w:tc>
      </w:tr>
      <w:tr w:rsidR="00F01625" w:rsidRPr="001409D4" w:rsidTr="009E3CC2">
        <w:trPr>
          <w:trHeight w:val="225"/>
        </w:trPr>
        <w:tc>
          <w:tcPr>
            <w:tcW w:w="2619" w:type="dxa"/>
            <w:gridSpan w:val="4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9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F01625" w:rsidRPr="001409D4" w:rsidTr="009E3CC2">
        <w:trPr>
          <w:trHeight w:val="510"/>
        </w:trPr>
        <w:tc>
          <w:tcPr>
            <w:tcW w:w="460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82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09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01625" w:rsidRPr="001409D4" w:rsidTr="009E3CC2">
        <w:trPr>
          <w:trHeight w:val="510"/>
        </w:trPr>
        <w:tc>
          <w:tcPr>
            <w:tcW w:w="460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59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VLASTITI PRIHODI</w:t>
            </w:r>
          </w:p>
        </w:tc>
        <w:tc>
          <w:tcPr>
            <w:tcW w:w="182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509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0,00</w:t>
            </w:r>
          </w:p>
        </w:tc>
      </w:tr>
      <w:tr w:rsidR="00F01625" w:rsidRPr="001409D4" w:rsidTr="009E3CC2">
        <w:trPr>
          <w:trHeight w:val="510"/>
        </w:trPr>
        <w:tc>
          <w:tcPr>
            <w:tcW w:w="460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159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VLASTITI PRIHODI</w:t>
            </w:r>
          </w:p>
        </w:tc>
        <w:tc>
          <w:tcPr>
            <w:tcW w:w="1823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509" w:type="dxa"/>
            <w:gridSpan w:val="2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F01625" w:rsidRPr="002A700E" w:rsidRDefault="00F01625" w:rsidP="009301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700E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</w:tbl>
    <w:tbl>
      <w:tblPr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136A4" w:rsidTr="008136A4">
        <w:trPr>
          <w:trHeight w:val="255"/>
        </w:trPr>
        <w:tc>
          <w:tcPr>
            <w:tcW w:w="10035" w:type="dxa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lastRenderedPageBreak/>
              <w:t>PRENESENI VIŠAK ILI PRENESENI MANJAK</w:t>
            </w:r>
          </w:p>
        </w:tc>
      </w:tr>
    </w:tbl>
    <w:p w:rsidR="008136A4" w:rsidRDefault="008136A4" w:rsidP="008136A4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8136A4" w:rsidRDefault="008136A4" w:rsidP="008136A4">
      <w:pPr>
        <w:spacing w:after="0" w:line="13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8789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1485"/>
        <w:gridCol w:w="1485"/>
        <w:gridCol w:w="1642"/>
      </w:tblGrid>
      <w:tr w:rsidR="008136A4" w:rsidTr="0012696C">
        <w:trPr>
          <w:trHeight w:val="720"/>
        </w:trPr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6A4" w:rsidRDefault="008136A4" w:rsidP="008136A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6A4" w:rsidRDefault="008136A4" w:rsidP="008136A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</w:tr>
      <w:tr w:rsidR="008136A4" w:rsidTr="0012696C">
        <w:trPr>
          <w:trHeight w:val="549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A4" w:rsidRDefault="008136A4" w:rsidP="0012696C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TURISTIČKO-UGOSTITELJSKA ŠKOLA ŠIBENIK</w:t>
            </w:r>
          </w:p>
        </w:tc>
      </w:tr>
      <w:tr w:rsidR="008136A4" w:rsidTr="0012696C">
        <w:trPr>
          <w:trHeight w:val="495"/>
        </w:trPr>
        <w:tc>
          <w:tcPr>
            <w:tcW w:w="4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38.849,40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32.633,00</w:t>
            </w:r>
          </w:p>
        </w:tc>
        <w:tc>
          <w:tcPr>
            <w:tcW w:w="1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16.244,39</w:t>
            </w:r>
          </w:p>
        </w:tc>
      </w:tr>
      <w:tr w:rsidR="008136A4" w:rsidTr="0012696C">
        <w:trPr>
          <w:trHeight w:val="480"/>
        </w:trPr>
        <w:tc>
          <w:tcPr>
            <w:tcW w:w="41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8136A4" w:rsidRDefault="005E47CE" w:rsidP="0012696C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450,04</w:t>
            </w:r>
            <w:r w:rsidR="008136A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8136A4" w:rsidRDefault="008136A4" w:rsidP="0012696C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32.633,00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8136A4" w:rsidRDefault="005E47CE" w:rsidP="0012696C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-133.048,60</w:t>
            </w:r>
          </w:p>
        </w:tc>
      </w:tr>
    </w:tbl>
    <w:p w:rsidR="008136A4" w:rsidRPr="008136A4" w:rsidRDefault="008136A4" w:rsidP="008136A4">
      <w:p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8136A4" w:rsidRDefault="008136A4" w:rsidP="008136A4">
      <w:pPr>
        <w:pStyle w:val="Odlomakpopisa"/>
        <w:spacing w:before="60" w:after="60" w:line="240" w:lineRule="auto"/>
        <w:ind w:left="36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A95B9C" w:rsidRPr="003F4464" w:rsidRDefault="00A95B9C" w:rsidP="00A95B9C">
      <w:pPr>
        <w:pStyle w:val="Odlomakpopisa"/>
        <w:numPr>
          <w:ilvl w:val="0"/>
          <w:numId w:val="3"/>
        </w:num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POSEBNI DIO</w:t>
      </w:r>
    </w:p>
    <w:p w:rsidR="00A95B9C" w:rsidRPr="007C5078" w:rsidRDefault="00A95B9C" w:rsidP="00A95B9C">
      <w:pPr>
        <w:spacing w:before="60" w:after="60" w:line="240" w:lineRule="auto"/>
        <w:ind w:left="36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A95B9C" w:rsidRPr="007C5078" w:rsidRDefault="00A95B9C" w:rsidP="00A95B9C">
      <w:p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2.1.</w:t>
      </w:r>
      <w:r w:rsidRPr="007C5078">
        <w:rPr>
          <w:rFonts w:ascii="Bookman Old Style" w:hAnsi="Bookman Old Style" w:cs="Calibri"/>
          <w:b/>
          <w:sz w:val="24"/>
          <w:szCs w:val="24"/>
        </w:rPr>
        <w:t>Izvještaj po programskoj klasifikaciji</w:t>
      </w:r>
    </w:p>
    <w:p w:rsidR="00A95B9C" w:rsidRDefault="00A95B9C" w:rsidP="00A95B9C">
      <w:pPr>
        <w:spacing w:before="60" w:after="60" w:line="240" w:lineRule="auto"/>
        <w:ind w:left="357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Izvještaj po programskoj klasifikaciji s</w:t>
      </w:r>
      <w:r>
        <w:rPr>
          <w:rFonts w:ascii="Bookman Old Style" w:hAnsi="Bookman Old Style" w:cs="Calibri"/>
          <w:sz w:val="24"/>
          <w:szCs w:val="24"/>
        </w:rPr>
        <w:t>adrži prikaz rashoda i izdataka</w:t>
      </w:r>
    </w:p>
    <w:p w:rsidR="00A95B9C" w:rsidRDefault="00A95B9C" w:rsidP="00A95B9C">
      <w:pPr>
        <w:spacing w:before="60" w:after="60" w:line="240" w:lineRule="auto"/>
        <w:ind w:left="357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iskazanih po izvorima financiranja i ekonomskoj klasifikaciji, raspoređenih u programe koji se sastoje od aktivnosti i projekata.</w:t>
      </w:r>
    </w:p>
    <w:tbl>
      <w:tblPr>
        <w:tblW w:w="99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2238"/>
        <w:gridCol w:w="3828"/>
        <w:gridCol w:w="1701"/>
        <w:gridCol w:w="1417"/>
        <w:gridCol w:w="709"/>
        <w:gridCol w:w="22"/>
      </w:tblGrid>
      <w:tr w:rsidR="009301B0" w:rsidRPr="009301B0" w:rsidTr="003E5317">
        <w:trPr>
          <w:gridAfter w:val="1"/>
          <w:wAfter w:w="22" w:type="dxa"/>
          <w:trHeight w:val="840"/>
        </w:trPr>
        <w:tc>
          <w:tcPr>
            <w:tcW w:w="30" w:type="dxa"/>
          </w:tcPr>
          <w:p w:rsidR="009301B0" w:rsidRPr="009301B0" w:rsidRDefault="009301B0" w:rsidP="009301B0">
            <w:pPr>
              <w:spacing w:after="0" w:line="240" w:lineRule="auto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  <w:tc>
          <w:tcPr>
            <w:tcW w:w="9893" w:type="dxa"/>
            <w:gridSpan w:val="5"/>
            <w:shd w:val="clear" w:color="auto" w:fill="auto"/>
          </w:tcPr>
          <w:p w:rsidR="009301B0" w:rsidRDefault="009301B0" w:rsidP="009301B0">
            <w:pPr>
              <w:spacing w:before="28" w:after="28" w:line="240" w:lineRule="auto"/>
              <w:ind w:left="1133" w:right="1133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</w:p>
          <w:p w:rsidR="009301B0" w:rsidRPr="009301B0" w:rsidRDefault="009301B0" w:rsidP="009301B0">
            <w:pPr>
              <w:spacing w:before="28" w:after="28" w:line="240" w:lineRule="auto"/>
              <w:ind w:left="1133" w:right="1133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9301B0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2. POSEBNI DIO</w:t>
            </w:r>
            <w:r w:rsidRPr="009301B0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br/>
            </w:r>
            <w:r w:rsidRPr="009301B0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1.440.542,00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1.507.832,08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104,67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30003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G- SREDNJE ŠKOLE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190.668,00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171.778,84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90,09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121.989,00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115.602,19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94,76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3.546,07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72,07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10.981,46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60,23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29.618,00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28.382,39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95,83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13.266,73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83,40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 I SREDNJEŠKOLSKO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190.668,00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171.778,84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90,09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A1007-10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SREDNJEŠKOLSKO OBRAZOVANJE -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93.521,00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95.854,20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102,49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93.521,00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95.854,20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102,49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95.854,20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14.515,69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14.070,70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1.131,50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9.746,08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6.416,71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15.578,65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1.101,57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</w:t>
            </w:r>
            <w:r w:rsid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3.570,61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546,44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4.131,48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5.391,03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7.301,06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4.867,17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2.581,90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2.298,33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1.229,08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400,20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662,00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5317" w:rsidRPr="00520A9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A97" w:rsidRPr="00520A97" w:rsidRDefault="00520A97" w:rsidP="00520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20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A1007-11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SREDNJEŠKOLSKO OBRAZOVANJE - OPERATIVNI PLAN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   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A1007-12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PODIZANJE KVALITETE I STANDARDA KROZ AKTIVNOSTI ŠKOLA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32.169,89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72,72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362,02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99,46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362,02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99,46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362,02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3.546,07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72,07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222,07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33,14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222,07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3.324,00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86,38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</w:t>
            </w:r>
            <w:r w:rsidR="00932B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1.424,00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18.233,00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10.981,46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60,23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10.981,46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60,23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10.981,46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4.813,00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4.013,61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83,39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3.430,99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100,23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953,88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2.477,11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582,62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41,92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582,62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13.266,73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83,40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13.266,73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83,40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3.832,32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9.434,41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A1007-70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KAPITALNA ULAGANJA I NABAVA OPREME U SREDNJEM ŠKOLSTVU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7.991,00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99,89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7.991,00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99,89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7.991,00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99,89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4.871,00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3.120,00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projekt T1007-34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ŠKOLSKIH USTANOVA BESPLATNIM ZALIHAMA MENSTRUALNIH HIGIJENSKIH POTREPŠTINA - SŠ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868,50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99,94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868,50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99,94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868,50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99,94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868,50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T1007-40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ERASMUS+ MOJE EUROPSKO STRUKOVNO ISKUSTVO (SŠ TURISTIČKA)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245,23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36,01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245,23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36,01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245,23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36,01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245,23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T1007-61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ERASMUS+ MOJE EUROPSKO STRUKOVNO ISKUSTVO 2 (SŠ TURISTIČKA)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31.305,02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78,24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Predfinanciranje</w:t>
            </w:r>
            <w:proofErr w:type="spellEnd"/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EU projekata iz </w:t>
            </w:r>
            <w:proofErr w:type="spellStart"/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sr.ŠKŽ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16.759,00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8.049,97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48,03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16.759,00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8.049,97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48,03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8.049,97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23.255,00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23.255,05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23.255,00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23.255,05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5.541,50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17.249,03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464,52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K1007-59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SIGURNOST U ŠKOLAMA - SŠ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30004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G- DJELATNOST OSNOVNIH I SREDNJIH ŠKOLA IZVAN PRORAČUNA ŠKZ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1.249.874,00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1.336.053,24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1.249.874,00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1.336.053,24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 I SREDNJEŠKOLSKO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1.249.874,00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1.336.053,24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A1007-58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ŠKOLA (EVIDENCIJSKI PRIHODI)-SŠ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1.249.874,00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1.336.053,24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1.249.874,00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1.336.053,24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106,90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1.244.480,00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1.330.885,75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106,94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1.088.461,23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14.892,54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C9461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45.478,59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182.053,39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5.167,49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95,80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3.447,49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5317" w:rsidRPr="003E5317" w:rsidTr="00932B5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317" w:rsidRPr="003E5317" w:rsidRDefault="003E5317" w:rsidP="003E53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53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9301B0" w:rsidRPr="009301B0" w:rsidRDefault="009301B0" w:rsidP="009301B0">
      <w:pPr>
        <w:spacing w:after="0" w:line="390" w:lineRule="exact"/>
        <w:rPr>
          <w:rFonts w:ascii="Calibri" w:eastAsia="Calibri" w:hAnsi="Calibri" w:cs="Calibri"/>
          <w:szCs w:val="20"/>
          <w:lang w:eastAsia="hr-HR"/>
        </w:rPr>
      </w:pPr>
    </w:p>
    <w:p w:rsidR="00FA61DB" w:rsidRDefault="00FA61DB" w:rsidP="00FA61DB">
      <w:pPr>
        <w:pStyle w:val="Odlomakpopisa"/>
        <w:numPr>
          <w:ilvl w:val="0"/>
          <w:numId w:val="3"/>
        </w:num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OBRAZLOŽENJE</w:t>
      </w:r>
    </w:p>
    <w:p w:rsidR="00FA61DB" w:rsidRDefault="00FA61DB" w:rsidP="00FA61DB">
      <w:pPr>
        <w:pStyle w:val="Odlomakpopisa"/>
        <w:spacing w:before="60" w:after="60" w:line="240" w:lineRule="auto"/>
        <w:ind w:left="36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A61DB" w:rsidRPr="00F43FFF" w:rsidRDefault="00FA61DB" w:rsidP="00FA61DB">
      <w:pPr>
        <w:pStyle w:val="Odlomakpopisa"/>
        <w:numPr>
          <w:ilvl w:val="1"/>
          <w:numId w:val="3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F43FFF">
        <w:rPr>
          <w:rFonts w:ascii="Bookman Old Style" w:hAnsi="Bookman Old Style" w:cs="Times New Roman"/>
          <w:b/>
          <w:sz w:val="24"/>
          <w:szCs w:val="24"/>
        </w:rPr>
        <w:t>Obrazloženje općeg dijela izvještaja o izvršenju financijskog plana proračunskog i izvanproračunskog korisnika</w:t>
      </w:r>
    </w:p>
    <w:p w:rsidR="00FA61DB" w:rsidRPr="00F43FFF" w:rsidRDefault="00FA61DB" w:rsidP="00FA61DB">
      <w:pPr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7B4AE5" w:rsidRPr="00F43FFF" w:rsidRDefault="007B4AE5" w:rsidP="007B4AE5">
      <w:pPr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7B4AE5" w:rsidRPr="00F43FFF" w:rsidRDefault="007B4AE5" w:rsidP="007B4AE5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F43FFF">
        <w:rPr>
          <w:rFonts w:ascii="Bookman Old Style" w:hAnsi="Bookman Old Style" w:cs="Times New Roman"/>
          <w:b/>
          <w:sz w:val="24"/>
          <w:szCs w:val="24"/>
        </w:rPr>
        <w:t xml:space="preserve">     3.1.1. Obrazloženje ostvarenja prihoda i rashoda, primitaka i </w:t>
      </w:r>
      <w:r>
        <w:rPr>
          <w:rFonts w:ascii="Bookman Old Style" w:hAnsi="Bookman Old Style" w:cs="Times New Roman"/>
          <w:b/>
          <w:sz w:val="24"/>
          <w:szCs w:val="24"/>
        </w:rPr>
        <w:t xml:space="preserve">     </w:t>
      </w:r>
    </w:p>
    <w:p w:rsidR="007B4AE5" w:rsidRPr="00F43FFF" w:rsidRDefault="007B4AE5" w:rsidP="007B4AE5">
      <w:pPr>
        <w:pStyle w:val="Odlomakpopisa"/>
        <w:spacing w:before="60" w:after="60" w:line="240" w:lineRule="auto"/>
        <w:ind w:left="360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           izdataka</w:t>
      </w:r>
    </w:p>
    <w:p w:rsidR="007B4AE5" w:rsidRPr="005E5663" w:rsidRDefault="007B4AE5" w:rsidP="007B4AE5">
      <w:pPr>
        <w:spacing w:before="60" w:after="60" w:line="240" w:lineRule="auto"/>
        <w:ind w:left="360" w:firstLine="708"/>
        <w:jc w:val="both"/>
        <w:rPr>
          <w:rFonts w:ascii="Bookman Old Style" w:hAnsi="Bookman Old Style" w:cs="Calibri"/>
          <w:sz w:val="16"/>
          <w:szCs w:val="16"/>
        </w:rPr>
      </w:pPr>
    </w:p>
    <w:p w:rsidR="007B4AE5" w:rsidRPr="00061DAB" w:rsidRDefault="007B4AE5" w:rsidP="007B4AE5">
      <w:pPr>
        <w:spacing w:before="60" w:after="60" w:line="240" w:lineRule="auto"/>
        <w:ind w:left="360" w:firstLine="708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t>Ukupni prihodi proračuna u izvještajno</w:t>
      </w:r>
      <w:r>
        <w:rPr>
          <w:rFonts w:ascii="Bookman Old Style" w:hAnsi="Bookman Old Style" w:cs="Calibri"/>
          <w:sz w:val="24"/>
          <w:szCs w:val="24"/>
        </w:rPr>
        <w:t>m</w:t>
      </w:r>
      <w:r w:rsidRPr="00061DAB">
        <w:rPr>
          <w:rFonts w:ascii="Bookman Old Style" w:hAnsi="Bookman Old Style" w:cs="Calibri"/>
          <w:sz w:val="24"/>
          <w:szCs w:val="24"/>
        </w:rPr>
        <w:t xml:space="preserve"> razdoblju ostvareni su u iznosu od </w:t>
      </w:r>
      <w:r>
        <w:rPr>
          <w:rFonts w:ascii="Bookman Old Style" w:hAnsi="Bookman Old Style" w:cs="Calibri"/>
          <w:sz w:val="24"/>
          <w:szCs w:val="24"/>
        </w:rPr>
        <w:t>1.</w:t>
      </w:r>
      <w:r w:rsidR="001A5E89">
        <w:rPr>
          <w:rFonts w:ascii="Bookman Old Style" w:hAnsi="Bookman Old Style" w:cs="Calibri"/>
          <w:sz w:val="24"/>
          <w:szCs w:val="24"/>
        </w:rPr>
        <w:t>507</w:t>
      </w:r>
      <w:r>
        <w:rPr>
          <w:rFonts w:ascii="Bookman Old Style" w:hAnsi="Bookman Old Style" w:cs="Calibri"/>
          <w:sz w:val="24"/>
          <w:szCs w:val="24"/>
        </w:rPr>
        <w:t>.</w:t>
      </w:r>
      <w:r w:rsidR="001A5E89">
        <w:rPr>
          <w:rFonts w:ascii="Bookman Old Style" w:hAnsi="Bookman Old Style" w:cs="Calibri"/>
          <w:sz w:val="24"/>
          <w:szCs w:val="24"/>
        </w:rPr>
        <w:t>8</w:t>
      </w:r>
      <w:r>
        <w:rPr>
          <w:rFonts w:ascii="Bookman Old Style" w:hAnsi="Bookman Old Style" w:cs="Calibri"/>
          <w:sz w:val="24"/>
          <w:szCs w:val="24"/>
        </w:rPr>
        <w:t>3</w:t>
      </w:r>
      <w:r w:rsidR="001A5E89">
        <w:rPr>
          <w:rFonts w:ascii="Bookman Old Style" w:hAnsi="Bookman Old Style" w:cs="Calibri"/>
          <w:sz w:val="24"/>
          <w:szCs w:val="24"/>
        </w:rPr>
        <w:t>2</w:t>
      </w:r>
      <w:r>
        <w:rPr>
          <w:rFonts w:ascii="Bookman Old Style" w:hAnsi="Bookman Old Style" w:cs="Calibri"/>
          <w:sz w:val="24"/>
          <w:szCs w:val="24"/>
        </w:rPr>
        <w:t>,</w:t>
      </w:r>
      <w:r w:rsidR="001A5E89">
        <w:rPr>
          <w:rFonts w:ascii="Bookman Old Style" w:hAnsi="Bookman Old Style" w:cs="Calibri"/>
          <w:sz w:val="24"/>
          <w:szCs w:val="24"/>
        </w:rPr>
        <w:t>08</w:t>
      </w:r>
      <w:r>
        <w:rPr>
          <w:rStyle w:val="CharacterStyle8"/>
          <w:rFonts w:ascii="Bookman Old Style" w:hAnsi="Bookman Old Style"/>
          <w:sz w:val="24"/>
          <w:szCs w:val="24"/>
        </w:rPr>
        <w:t>€</w:t>
      </w:r>
      <w:r w:rsidRPr="00061DAB">
        <w:rPr>
          <w:rFonts w:ascii="Bookman Old Style" w:hAnsi="Bookman Old Style" w:cs="Calibri"/>
          <w:sz w:val="24"/>
          <w:szCs w:val="24"/>
        </w:rPr>
        <w:t xml:space="preserve">, što predstavlja </w:t>
      </w:r>
      <w:r w:rsidR="001A5E89">
        <w:rPr>
          <w:rFonts w:ascii="Bookman Old Style" w:hAnsi="Bookman Old Style" w:cs="Calibri"/>
          <w:sz w:val="24"/>
          <w:szCs w:val="24"/>
        </w:rPr>
        <w:t>1</w:t>
      </w:r>
      <w:r>
        <w:rPr>
          <w:rFonts w:ascii="Bookman Old Style" w:hAnsi="Bookman Old Style" w:cs="Calibri"/>
          <w:sz w:val="24"/>
          <w:szCs w:val="24"/>
        </w:rPr>
        <w:t>3,</w:t>
      </w:r>
      <w:r w:rsidR="001A5E89">
        <w:rPr>
          <w:rFonts w:ascii="Bookman Old Style" w:hAnsi="Bookman Old Style" w:cs="Calibri"/>
          <w:sz w:val="24"/>
          <w:szCs w:val="24"/>
        </w:rPr>
        <w:t>38</w:t>
      </w:r>
      <w:r w:rsidRPr="00061DAB">
        <w:rPr>
          <w:rFonts w:ascii="Bookman Old Style" w:hAnsi="Bookman Old Style" w:cs="Calibri"/>
          <w:sz w:val="24"/>
          <w:szCs w:val="24"/>
        </w:rPr>
        <w:t xml:space="preserve"> % </w:t>
      </w:r>
      <w:r>
        <w:rPr>
          <w:rFonts w:ascii="Bookman Old Style" w:hAnsi="Bookman Old Style" w:cs="Calibri"/>
          <w:sz w:val="24"/>
          <w:szCs w:val="24"/>
        </w:rPr>
        <w:t>više nego u istom periodu prošle godine</w:t>
      </w:r>
      <w:r w:rsidRPr="00061DAB">
        <w:rPr>
          <w:rFonts w:ascii="Bookman Old Style" w:hAnsi="Bookman Old Style" w:cs="Calibri"/>
          <w:sz w:val="24"/>
          <w:szCs w:val="24"/>
        </w:rPr>
        <w:t>;</w:t>
      </w:r>
    </w:p>
    <w:p w:rsidR="007B4AE5" w:rsidRPr="00061DAB" w:rsidRDefault="007B4AE5" w:rsidP="007B4AE5">
      <w:pPr>
        <w:pStyle w:val="Odlomakpopisa"/>
        <w:numPr>
          <w:ilvl w:val="0"/>
          <w:numId w:val="6"/>
        </w:numPr>
        <w:spacing w:before="60" w:after="6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t>prihoda od po</w:t>
      </w:r>
      <w:r>
        <w:rPr>
          <w:rFonts w:ascii="Bookman Old Style" w:hAnsi="Bookman Old Style" w:cs="Calibri"/>
          <w:sz w:val="24"/>
          <w:szCs w:val="24"/>
        </w:rPr>
        <w:t xml:space="preserve">moći (skupina 63) ostvareno je </w:t>
      </w:r>
      <w:r w:rsidR="00E74F2A">
        <w:rPr>
          <w:rFonts w:ascii="Bookman Old Style" w:hAnsi="Bookman Old Style" w:cs="Calibri"/>
          <w:sz w:val="24"/>
          <w:szCs w:val="24"/>
        </w:rPr>
        <w:t>3,26</w:t>
      </w:r>
      <w:r w:rsidRPr="00061DAB">
        <w:rPr>
          <w:rFonts w:ascii="Bookman Old Style" w:hAnsi="Bookman Old Style" w:cs="Calibri"/>
          <w:sz w:val="24"/>
          <w:szCs w:val="24"/>
        </w:rPr>
        <w:t xml:space="preserve">% </w:t>
      </w:r>
      <w:r>
        <w:rPr>
          <w:rFonts w:ascii="Bookman Old Style" w:hAnsi="Bookman Old Style" w:cs="Calibri"/>
          <w:sz w:val="24"/>
          <w:szCs w:val="24"/>
        </w:rPr>
        <w:t xml:space="preserve">više </w:t>
      </w:r>
      <w:r w:rsidRPr="00061DAB">
        <w:rPr>
          <w:rFonts w:ascii="Bookman Old Style" w:hAnsi="Bookman Old Style" w:cs="Calibri"/>
          <w:sz w:val="24"/>
          <w:szCs w:val="24"/>
        </w:rPr>
        <w:t xml:space="preserve">u odnosu na </w:t>
      </w:r>
      <w:r w:rsidR="00E74F2A">
        <w:rPr>
          <w:rFonts w:ascii="Bookman Old Style" w:hAnsi="Bookman Old Style" w:cs="Calibri"/>
          <w:sz w:val="24"/>
          <w:szCs w:val="24"/>
        </w:rPr>
        <w:t>2024.g.</w:t>
      </w:r>
      <w:r w:rsidRPr="00061DAB">
        <w:rPr>
          <w:rFonts w:ascii="Bookman Old Style" w:hAnsi="Bookman Old Style" w:cs="Calibri"/>
          <w:sz w:val="24"/>
          <w:szCs w:val="24"/>
        </w:rPr>
        <w:t xml:space="preserve"> (čine ga tekuće pomoći proračunskom korisniku iz proračuna koji im nije nadležan – pla</w:t>
      </w:r>
      <w:r w:rsidR="00E74F2A">
        <w:rPr>
          <w:rFonts w:ascii="Bookman Old Style" w:hAnsi="Bookman Old Style" w:cs="Calibri"/>
          <w:sz w:val="24"/>
          <w:szCs w:val="24"/>
        </w:rPr>
        <w:t>ć</w:t>
      </w:r>
      <w:r w:rsidRPr="00061DAB">
        <w:rPr>
          <w:rFonts w:ascii="Bookman Old Style" w:hAnsi="Bookman Old Style" w:cs="Calibri"/>
          <w:sz w:val="24"/>
          <w:szCs w:val="24"/>
        </w:rPr>
        <w:t>e, materijalna prava zaposlenih</w:t>
      </w:r>
      <w:r>
        <w:rPr>
          <w:rFonts w:ascii="Bookman Old Style" w:hAnsi="Bookman Old Style" w:cs="Calibri"/>
          <w:sz w:val="24"/>
          <w:szCs w:val="24"/>
        </w:rPr>
        <w:t>,</w:t>
      </w:r>
      <w:r w:rsidRPr="00061DAB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pomoći EU i </w:t>
      </w:r>
      <w:r w:rsidR="00E74F2A">
        <w:rPr>
          <w:rFonts w:ascii="Bookman Old Style" w:hAnsi="Bookman Old Style" w:cs="Calibri"/>
          <w:sz w:val="24"/>
          <w:szCs w:val="24"/>
        </w:rPr>
        <w:t>ostalo iz državnog proračuna). Unutar te skupine 638 pomoći temeljem prijenosa EU sredstava u 2025.g su svega 1,02% sredstava u 2024.g., jer smo u 2024. dobili predujam za ERASMUS+2, a u 2025. konačnu isplatu po ERASMUS+1 u iznosu od 680,44€.</w:t>
      </w:r>
    </w:p>
    <w:p w:rsidR="007B4AE5" w:rsidRPr="00061DAB" w:rsidRDefault="007B4AE5" w:rsidP="007B4AE5">
      <w:pPr>
        <w:pStyle w:val="Odlomakpopisa"/>
        <w:numPr>
          <w:ilvl w:val="0"/>
          <w:numId w:val="6"/>
        </w:numPr>
        <w:spacing w:before="60" w:after="6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t xml:space="preserve">prihoda od administrativnih pristojbi i po posebnim propisima (skupina 65) ostvareno je </w:t>
      </w:r>
      <w:r w:rsidR="00E74F2A">
        <w:rPr>
          <w:rFonts w:ascii="Bookman Old Style" w:hAnsi="Bookman Old Style" w:cs="Calibri"/>
          <w:sz w:val="24"/>
          <w:szCs w:val="24"/>
        </w:rPr>
        <w:t>22,46</w:t>
      </w:r>
      <w:r w:rsidRPr="00061DAB">
        <w:rPr>
          <w:rFonts w:ascii="Bookman Old Style" w:hAnsi="Bookman Old Style" w:cs="Calibri"/>
          <w:sz w:val="24"/>
          <w:szCs w:val="24"/>
        </w:rPr>
        <w:t xml:space="preserve">% </w:t>
      </w:r>
      <w:r>
        <w:rPr>
          <w:rFonts w:ascii="Bookman Old Style" w:hAnsi="Bookman Old Style" w:cs="Calibri"/>
          <w:sz w:val="24"/>
          <w:szCs w:val="24"/>
        </w:rPr>
        <w:t xml:space="preserve">više </w:t>
      </w:r>
      <w:r w:rsidRPr="00061DAB">
        <w:rPr>
          <w:rFonts w:ascii="Bookman Old Style" w:hAnsi="Bookman Old Style" w:cs="Calibri"/>
          <w:sz w:val="24"/>
          <w:szCs w:val="24"/>
        </w:rPr>
        <w:t>u odnosu na</w:t>
      </w:r>
      <w:r w:rsidR="00E74F2A">
        <w:rPr>
          <w:rFonts w:ascii="Bookman Old Style" w:hAnsi="Bookman Old Style" w:cs="Calibri"/>
          <w:sz w:val="24"/>
          <w:szCs w:val="24"/>
        </w:rPr>
        <w:t xml:space="preserve"> prošlu</w:t>
      </w:r>
      <w:r w:rsidRPr="00061DAB">
        <w:rPr>
          <w:rFonts w:ascii="Bookman Old Style" w:hAnsi="Bookman Old Style" w:cs="Calibri"/>
          <w:sz w:val="24"/>
          <w:szCs w:val="24"/>
        </w:rPr>
        <w:t xml:space="preserve"> godi</w:t>
      </w:r>
      <w:r w:rsidR="00E74F2A">
        <w:rPr>
          <w:rFonts w:ascii="Bookman Old Style" w:hAnsi="Bookman Old Style" w:cs="Calibri"/>
          <w:sz w:val="24"/>
          <w:szCs w:val="24"/>
        </w:rPr>
        <w:t>nu</w:t>
      </w:r>
      <w:r w:rsidRPr="00061DAB">
        <w:rPr>
          <w:rFonts w:ascii="Bookman Old Style" w:hAnsi="Bookman Old Style" w:cs="Calibri"/>
          <w:sz w:val="24"/>
          <w:szCs w:val="24"/>
        </w:rPr>
        <w:t xml:space="preserve"> (prihodi od učenika – upisnine)</w:t>
      </w:r>
    </w:p>
    <w:p w:rsidR="006E5460" w:rsidRDefault="007B4AE5" w:rsidP="007B4AE5">
      <w:pPr>
        <w:pStyle w:val="Odlomakpopisa"/>
        <w:numPr>
          <w:ilvl w:val="0"/>
          <w:numId w:val="6"/>
        </w:numPr>
        <w:spacing w:before="60" w:after="6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t xml:space="preserve">prihoda od prodaje proizvoda i roba te pruženih usluga i prihoda od donacija (skupina 66) ostvareno je </w:t>
      </w:r>
      <w:r w:rsidR="006E5460">
        <w:rPr>
          <w:rFonts w:ascii="Bookman Old Style" w:hAnsi="Bookman Old Style" w:cs="Calibri"/>
          <w:sz w:val="24"/>
          <w:szCs w:val="24"/>
        </w:rPr>
        <w:t>7,39</w:t>
      </w:r>
      <w:r w:rsidRPr="00061DAB">
        <w:rPr>
          <w:rFonts w:ascii="Bookman Old Style" w:hAnsi="Bookman Old Style" w:cs="Calibri"/>
          <w:sz w:val="24"/>
          <w:szCs w:val="24"/>
        </w:rPr>
        <w:t xml:space="preserve">% </w:t>
      </w:r>
      <w:r w:rsidR="006E5460">
        <w:rPr>
          <w:rFonts w:ascii="Bookman Old Style" w:hAnsi="Bookman Old Style" w:cs="Calibri"/>
          <w:sz w:val="24"/>
          <w:szCs w:val="24"/>
        </w:rPr>
        <w:t xml:space="preserve">više </w:t>
      </w:r>
      <w:r w:rsidRPr="00061DAB">
        <w:rPr>
          <w:rFonts w:ascii="Bookman Old Style" w:hAnsi="Bookman Old Style" w:cs="Calibri"/>
          <w:sz w:val="24"/>
          <w:szCs w:val="24"/>
        </w:rPr>
        <w:t xml:space="preserve">u odnosu na </w:t>
      </w:r>
      <w:r w:rsidR="006E5460">
        <w:rPr>
          <w:rFonts w:ascii="Bookman Old Style" w:hAnsi="Bookman Old Style" w:cs="Calibri"/>
          <w:sz w:val="24"/>
          <w:szCs w:val="24"/>
        </w:rPr>
        <w:t xml:space="preserve">2024.g. </w:t>
      </w:r>
    </w:p>
    <w:p w:rsidR="007B4AE5" w:rsidRPr="00061DAB" w:rsidRDefault="007B4AE5" w:rsidP="006E5460">
      <w:pPr>
        <w:pStyle w:val="Odlomakpopisa"/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t>(u najvećem djelu prihodi od izrade duplikata svjedodžbi</w:t>
      </w:r>
      <w:r>
        <w:rPr>
          <w:rFonts w:ascii="Bookman Old Style" w:hAnsi="Bookman Old Style" w:cs="Calibri"/>
          <w:sz w:val="24"/>
          <w:szCs w:val="24"/>
        </w:rPr>
        <w:t>, najma poslovnog prostora</w:t>
      </w:r>
      <w:r w:rsidRPr="00061DAB">
        <w:rPr>
          <w:rFonts w:ascii="Bookman Old Style" w:hAnsi="Bookman Old Style" w:cs="Calibri"/>
          <w:sz w:val="24"/>
          <w:szCs w:val="24"/>
        </w:rPr>
        <w:t xml:space="preserve"> i tekućih donacija za maturalni ples),</w:t>
      </w:r>
    </w:p>
    <w:p w:rsidR="007B4AE5" w:rsidRPr="00061DAB" w:rsidRDefault="007B4AE5" w:rsidP="007B4AE5">
      <w:pPr>
        <w:pStyle w:val="Odlomakpopisa"/>
        <w:numPr>
          <w:ilvl w:val="0"/>
          <w:numId w:val="6"/>
        </w:numPr>
        <w:spacing w:before="60" w:after="6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t>prihodi iz nadležnog proračuna (skupin</w:t>
      </w:r>
      <w:r>
        <w:rPr>
          <w:rFonts w:ascii="Bookman Old Style" w:hAnsi="Bookman Old Style" w:cs="Calibri"/>
          <w:sz w:val="24"/>
          <w:szCs w:val="24"/>
        </w:rPr>
        <w:t xml:space="preserve">a 67) </w:t>
      </w:r>
      <w:r w:rsidRPr="00061DAB">
        <w:rPr>
          <w:rFonts w:ascii="Bookman Old Style" w:hAnsi="Bookman Old Style" w:cs="Calibri"/>
          <w:sz w:val="24"/>
          <w:szCs w:val="24"/>
        </w:rPr>
        <w:t>su</w:t>
      </w:r>
      <w:r>
        <w:rPr>
          <w:rFonts w:ascii="Bookman Old Style" w:hAnsi="Bookman Old Style" w:cs="Calibri"/>
          <w:sz w:val="24"/>
          <w:szCs w:val="24"/>
        </w:rPr>
        <w:t xml:space="preserve"> za </w:t>
      </w:r>
      <w:r w:rsidR="006E5460">
        <w:rPr>
          <w:rFonts w:ascii="Bookman Old Style" w:hAnsi="Bookman Old Style" w:cs="Calibri"/>
          <w:sz w:val="24"/>
          <w:szCs w:val="24"/>
        </w:rPr>
        <w:t>3,36</w:t>
      </w:r>
      <w:r w:rsidRPr="00061DAB">
        <w:rPr>
          <w:rFonts w:ascii="Bookman Old Style" w:hAnsi="Bookman Old Style" w:cs="Calibri"/>
          <w:sz w:val="24"/>
          <w:szCs w:val="24"/>
        </w:rPr>
        <w:t>%</w:t>
      </w:r>
      <w:r>
        <w:rPr>
          <w:rFonts w:ascii="Bookman Old Style" w:hAnsi="Bookman Old Style" w:cs="Calibri"/>
          <w:sz w:val="24"/>
          <w:szCs w:val="24"/>
        </w:rPr>
        <w:t xml:space="preserve"> veća </w:t>
      </w:r>
      <w:r w:rsidRPr="00061DAB">
        <w:rPr>
          <w:rFonts w:ascii="Bookman Old Style" w:hAnsi="Bookman Old Style" w:cs="Calibri"/>
          <w:sz w:val="24"/>
          <w:szCs w:val="24"/>
        </w:rPr>
        <w:t xml:space="preserve"> u odnosu na </w:t>
      </w:r>
      <w:r>
        <w:rPr>
          <w:rFonts w:ascii="Bookman Old Style" w:hAnsi="Bookman Old Style" w:cs="Calibri"/>
          <w:sz w:val="24"/>
          <w:szCs w:val="24"/>
        </w:rPr>
        <w:t>202</w:t>
      </w:r>
      <w:r w:rsidR="006E5460">
        <w:rPr>
          <w:rFonts w:ascii="Bookman Old Style" w:hAnsi="Bookman Old Style" w:cs="Calibri"/>
          <w:sz w:val="24"/>
          <w:szCs w:val="24"/>
        </w:rPr>
        <w:t>4</w:t>
      </w:r>
      <w:r>
        <w:rPr>
          <w:rFonts w:ascii="Bookman Old Style" w:hAnsi="Bookman Old Style" w:cs="Calibri"/>
          <w:sz w:val="24"/>
          <w:szCs w:val="24"/>
        </w:rPr>
        <w:t>.</w:t>
      </w:r>
      <w:r w:rsidR="006E5460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godinu</w:t>
      </w:r>
      <w:r w:rsidRPr="00061DAB">
        <w:rPr>
          <w:rFonts w:ascii="Bookman Old Style" w:hAnsi="Bookman Old Style" w:cs="Calibri"/>
          <w:sz w:val="24"/>
          <w:szCs w:val="24"/>
        </w:rPr>
        <w:t xml:space="preserve">. Odnose se na prihode koje škola ostvaruje iz proračuna osnivača, Šibensko-kninske županije (decentralizirana sredstva). </w:t>
      </w:r>
    </w:p>
    <w:p w:rsidR="007B4AE5" w:rsidRDefault="007B4AE5" w:rsidP="007B4AE5">
      <w:pPr>
        <w:spacing w:before="60" w:after="60" w:line="240" w:lineRule="auto"/>
        <w:ind w:firstLine="36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</w:t>
      </w:r>
      <w:r w:rsidRPr="00061DAB">
        <w:rPr>
          <w:rFonts w:ascii="Bookman Old Style" w:hAnsi="Bookman Old Style" w:cs="Calibri"/>
          <w:sz w:val="24"/>
          <w:szCs w:val="24"/>
        </w:rPr>
        <w:t xml:space="preserve">Ukupni rashodi ostvareni su u iznosu od </w:t>
      </w:r>
      <w:r>
        <w:rPr>
          <w:rFonts w:ascii="Bookman Old Style" w:hAnsi="Bookman Old Style" w:cs="Calibri"/>
          <w:sz w:val="24"/>
          <w:szCs w:val="24"/>
        </w:rPr>
        <w:t>1.</w:t>
      </w:r>
      <w:r w:rsidR="006E5460">
        <w:rPr>
          <w:rFonts w:ascii="Bookman Old Style" w:hAnsi="Bookman Old Style" w:cs="Calibri"/>
          <w:sz w:val="24"/>
          <w:szCs w:val="24"/>
        </w:rPr>
        <w:t>507.832,08</w:t>
      </w:r>
      <w:r>
        <w:rPr>
          <w:rFonts w:ascii="Bookman Old Style" w:hAnsi="Bookman Old Style" w:cs="Calibri"/>
          <w:sz w:val="24"/>
          <w:szCs w:val="24"/>
        </w:rPr>
        <w:t>€</w:t>
      </w:r>
      <w:r w:rsidRPr="00061DAB">
        <w:rPr>
          <w:rFonts w:ascii="Bookman Old Style" w:hAnsi="Bookman Old Style" w:cs="Calibri"/>
          <w:sz w:val="24"/>
          <w:szCs w:val="24"/>
        </w:rPr>
        <w:t>, što</w:t>
      </w:r>
    </w:p>
    <w:p w:rsidR="007B4AE5" w:rsidRPr="00061DAB" w:rsidRDefault="007B4AE5" w:rsidP="007B4AE5">
      <w:pPr>
        <w:spacing w:before="60" w:after="60" w:line="240" w:lineRule="auto"/>
        <w:ind w:firstLine="36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predsta</w:t>
      </w:r>
      <w:r w:rsidRPr="00061DAB">
        <w:rPr>
          <w:rFonts w:ascii="Bookman Old Style" w:hAnsi="Bookman Old Style" w:cs="Calibri"/>
          <w:sz w:val="24"/>
          <w:szCs w:val="24"/>
        </w:rPr>
        <w:t>vlja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="006E5460">
        <w:rPr>
          <w:rFonts w:ascii="Bookman Old Style" w:hAnsi="Bookman Old Style" w:cs="Calibri"/>
          <w:sz w:val="24"/>
          <w:szCs w:val="24"/>
        </w:rPr>
        <w:t>113,64</w:t>
      </w:r>
      <w:r w:rsidRPr="00061DAB">
        <w:rPr>
          <w:rFonts w:ascii="Bookman Old Style" w:hAnsi="Bookman Old Style" w:cs="Calibri"/>
          <w:sz w:val="24"/>
          <w:szCs w:val="24"/>
        </w:rPr>
        <w:t xml:space="preserve">% ostvarenja </w:t>
      </w:r>
      <w:r>
        <w:rPr>
          <w:rFonts w:ascii="Bookman Old Style" w:hAnsi="Bookman Old Style" w:cs="Calibri"/>
          <w:sz w:val="24"/>
          <w:szCs w:val="24"/>
        </w:rPr>
        <w:t xml:space="preserve">u prošloj </w:t>
      </w:r>
      <w:r w:rsidRPr="00061DAB">
        <w:rPr>
          <w:rFonts w:ascii="Bookman Old Style" w:hAnsi="Bookman Old Style" w:cs="Calibri"/>
          <w:sz w:val="24"/>
          <w:szCs w:val="24"/>
        </w:rPr>
        <w:t>godin</w:t>
      </w:r>
      <w:r>
        <w:rPr>
          <w:rFonts w:ascii="Bookman Old Style" w:hAnsi="Bookman Old Style" w:cs="Calibri"/>
          <w:sz w:val="24"/>
          <w:szCs w:val="24"/>
        </w:rPr>
        <w:t>i</w:t>
      </w:r>
      <w:r w:rsidRPr="00061DAB">
        <w:rPr>
          <w:rFonts w:ascii="Bookman Old Style" w:hAnsi="Bookman Old Style" w:cs="Calibri"/>
          <w:sz w:val="24"/>
          <w:szCs w:val="24"/>
        </w:rPr>
        <w:t>;</w:t>
      </w:r>
    </w:p>
    <w:p w:rsidR="007B4AE5" w:rsidRPr="00061DAB" w:rsidRDefault="007B4AE5" w:rsidP="007B4AE5">
      <w:pPr>
        <w:pStyle w:val="Odlomakpopisa"/>
        <w:numPr>
          <w:ilvl w:val="0"/>
          <w:numId w:val="7"/>
        </w:numPr>
        <w:spacing w:before="60" w:after="6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t>rashoda za zaposlene (konto 31) koji obuhvaćaju bruto pla</w:t>
      </w:r>
      <w:r w:rsidR="006E5460">
        <w:rPr>
          <w:rFonts w:ascii="Bookman Old Style" w:hAnsi="Bookman Old Style" w:cs="Calibri"/>
          <w:sz w:val="24"/>
          <w:szCs w:val="24"/>
        </w:rPr>
        <w:t>ć</w:t>
      </w:r>
      <w:r w:rsidRPr="00061DAB">
        <w:rPr>
          <w:rFonts w:ascii="Bookman Old Style" w:hAnsi="Bookman Old Style" w:cs="Calibri"/>
          <w:sz w:val="24"/>
          <w:szCs w:val="24"/>
        </w:rPr>
        <w:t>e, doprinose na plaču i ostale rashod</w:t>
      </w:r>
      <w:r>
        <w:rPr>
          <w:rFonts w:ascii="Bookman Old Style" w:hAnsi="Bookman Old Style" w:cs="Calibri"/>
          <w:sz w:val="24"/>
          <w:szCs w:val="24"/>
        </w:rPr>
        <w:t>e za zaposlene, ostvareno je 1</w:t>
      </w:r>
      <w:r w:rsidR="006E5460">
        <w:rPr>
          <w:rFonts w:ascii="Bookman Old Style" w:hAnsi="Bookman Old Style" w:cs="Calibri"/>
          <w:sz w:val="24"/>
          <w:szCs w:val="24"/>
        </w:rPr>
        <w:t>19,11</w:t>
      </w:r>
      <w:r w:rsidRPr="00061DAB">
        <w:rPr>
          <w:rFonts w:ascii="Bookman Old Style" w:hAnsi="Bookman Old Style" w:cs="Calibri"/>
          <w:sz w:val="24"/>
          <w:szCs w:val="24"/>
        </w:rPr>
        <w:t xml:space="preserve">% u odnosu na </w:t>
      </w:r>
      <w:r>
        <w:rPr>
          <w:rFonts w:ascii="Bookman Old Style" w:hAnsi="Bookman Old Style" w:cs="Calibri"/>
          <w:sz w:val="24"/>
          <w:szCs w:val="24"/>
        </w:rPr>
        <w:t>202</w:t>
      </w:r>
      <w:r w:rsidR="006E5460">
        <w:rPr>
          <w:rFonts w:ascii="Bookman Old Style" w:hAnsi="Bookman Old Style" w:cs="Calibri"/>
          <w:sz w:val="24"/>
          <w:szCs w:val="24"/>
        </w:rPr>
        <w:t>4</w:t>
      </w:r>
      <w:r>
        <w:rPr>
          <w:rFonts w:ascii="Bookman Old Style" w:hAnsi="Bookman Old Style" w:cs="Calibri"/>
          <w:sz w:val="24"/>
          <w:szCs w:val="24"/>
        </w:rPr>
        <w:t>. godinu</w:t>
      </w:r>
      <w:r w:rsidRPr="00061DAB">
        <w:rPr>
          <w:rFonts w:ascii="Bookman Old Style" w:hAnsi="Bookman Old Style" w:cs="Calibri"/>
          <w:sz w:val="24"/>
          <w:szCs w:val="24"/>
        </w:rPr>
        <w:t>,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="006E5460">
        <w:rPr>
          <w:rFonts w:ascii="Bookman Old Style" w:hAnsi="Bookman Old Style" w:cs="Calibri"/>
          <w:sz w:val="24"/>
          <w:szCs w:val="24"/>
        </w:rPr>
        <w:t xml:space="preserve">zbog metode knjiženja plaće za 12/2025.g. na rashode a ne na vremenska </w:t>
      </w:r>
      <w:proofErr w:type="spellStart"/>
      <w:r w:rsidR="006E5460">
        <w:rPr>
          <w:rFonts w:ascii="Bookman Old Style" w:hAnsi="Bookman Old Style" w:cs="Calibri"/>
          <w:sz w:val="24"/>
          <w:szCs w:val="24"/>
        </w:rPr>
        <w:t>razgran</w:t>
      </w:r>
      <w:proofErr w:type="spellEnd"/>
      <w:r w:rsidR="006E5460">
        <w:rPr>
          <w:rFonts w:ascii="Bookman Old Style" w:hAnsi="Bookman Old Style" w:cs="Calibri"/>
          <w:sz w:val="24"/>
          <w:szCs w:val="24"/>
        </w:rPr>
        <w:t>.</w:t>
      </w:r>
      <w:r>
        <w:rPr>
          <w:rFonts w:ascii="Bookman Old Style" w:hAnsi="Bookman Old Style" w:cs="Calibri"/>
          <w:sz w:val="24"/>
          <w:szCs w:val="24"/>
        </w:rPr>
        <w:t xml:space="preserve"> </w:t>
      </w:r>
    </w:p>
    <w:p w:rsidR="007B4AE5" w:rsidRPr="00061DAB" w:rsidRDefault="007B4AE5" w:rsidP="007B4AE5">
      <w:pPr>
        <w:pStyle w:val="Odlomakpopisa"/>
        <w:numPr>
          <w:ilvl w:val="0"/>
          <w:numId w:val="7"/>
        </w:numPr>
        <w:spacing w:before="60" w:after="60" w:line="240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  <w:r w:rsidRPr="00061DAB">
        <w:rPr>
          <w:rFonts w:ascii="Bookman Old Style" w:hAnsi="Bookman Old Style" w:cs="Calibri"/>
          <w:sz w:val="24"/>
          <w:szCs w:val="24"/>
        </w:rPr>
        <w:lastRenderedPageBreak/>
        <w:t>materijalni rashod</w:t>
      </w:r>
      <w:r w:rsidR="006E5460">
        <w:rPr>
          <w:rFonts w:ascii="Bookman Old Style" w:hAnsi="Bookman Old Style" w:cs="Calibri"/>
          <w:sz w:val="24"/>
          <w:szCs w:val="24"/>
        </w:rPr>
        <w:t>i</w:t>
      </w:r>
      <w:r w:rsidRPr="00061DAB">
        <w:rPr>
          <w:rFonts w:ascii="Bookman Old Style" w:hAnsi="Bookman Old Style" w:cs="Calibri"/>
          <w:sz w:val="24"/>
          <w:szCs w:val="24"/>
        </w:rPr>
        <w:t xml:space="preserve"> (</w:t>
      </w:r>
      <w:r w:rsidR="00577D11">
        <w:rPr>
          <w:rFonts w:ascii="Bookman Old Style" w:hAnsi="Bookman Old Style" w:cs="Calibri"/>
          <w:sz w:val="24"/>
          <w:szCs w:val="24"/>
        </w:rPr>
        <w:t xml:space="preserve">skupina </w:t>
      </w:r>
      <w:r w:rsidRPr="00061DAB">
        <w:rPr>
          <w:rFonts w:ascii="Bookman Old Style" w:hAnsi="Bookman Old Style" w:cs="Calibri"/>
          <w:sz w:val="24"/>
          <w:szCs w:val="24"/>
        </w:rPr>
        <w:t xml:space="preserve">32) realizirano je </w:t>
      </w:r>
      <w:r w:rsidR="00577D11">
        <w:rPr>
          <w:rFonts w:ascii="Bookman Old Style" w:hAnsi="Bookman Old Style" w:cs="Calibri"/>
          <w:sz w:val="24"/>
          <w:szCs w:val="24"/>
        </w:rPr>
        <w:t>82,08</w:t>
      </w:r>
      <w:r w:rsidRPr="00061DAB">
        <w:rPr>
          <w:rFonts w:ascii="Bookman Old Style" w:hAnsi="Bookman Old Style" w:cs="Calibri"/>
          <w:sz w:val="24"/>
          <w:szCs w:val="24"/>
        </w:rPr>
        <w:t xml:space="preserve">% </w:t>
      </w:r>
      <w:r w:rsidR="00577D11">
        <w:rPr>
          <w:rFonts w:ascii="Bookman Old Style" w:hAnsi="Bookman Old Style" w:cs="Calibri"/>
          <w:sz w:val="24"/>
          <w:szCs w:val="24"/>
        </w:rPr>
        <w:t>od p</w:t>
      </w:r>
      <w:r>
        <w:rPr>
          <w:rFonts w:ascii="Bookman Old Style" w:hAnsi="Bookman Old Style" w:cs="Calibri"/>
          <w:sz w:val="24"/>
          <w:szCs w:val="24"/>
        </w:rPr>
        <w:t>rošl</w:t>
      </w:r>
      <w:r w:rsidR="00577D11">
        <w:rPr>
          <w:rFonts w:ascii="Bookman Old Style" w:hAnsi="Bookman Old Style" w:cs="Calibri"/>
          <w:sz w:val="24"/>
          <w:szCs w:val="24"/>
        </w:rPr>
        <w:t>e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="00577D11">
        <w:rPr>
          <w:rFonts w:ascii="Bookman Old Style" w:hAnsi="Bookman Old Style" w:cs="Calibri"/>
          <w:sz w:val="24"/>
          <w:szCs w:val="24"/>
        </w:rPr>
        <w:t xml:space="preserve">2024. </w:t>
      </w:r>
      <w:r>
        <w:rPr>
          <w:rFonts w:ascii="Bookman Old Style" w:hAnsi="Bookman Old Style" w:cs="Calibri"/>
          <w:sz w:val="24"/>
          <w:szCs w:val="24"/>
        </w:rPr>
        <w:t>godin</w:t>
      </w:r>
      <w:r w:rsidR="00577D11">
        <w:rPr>
          <w:rFonts w:ascii="Bookman Old Style" w:hAnsi="Bookman Old Style" w:cs="Calibri"/>
          <w:sz w:val="24"/>
          <w:szCs w:val="24"/>
        </w:rPr>
        <w:t>e. U 2025.g. obavljeno jedno putovanje po ERASMUS+2 projektu, a u 2024.g. dva.</w:t>
      </w:r>
    </w:p>
    <w:p w:rsidR="007B4AE5" w:rsidRDefault="006E3690" w:rsidP="006E3690">
      <w:p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6E3690">
        <w:rPr>
          <w:rFonts w:ascii="Bookman Old Style" w:hAnsi="Bookman Old Style" w:cs="Calibri"/>
          <w:b/>
          <w:sz w:val="24"/>
          <w:szCs w:val="24"/>
        </w:rPr>
        <w:t>3.1.2. Obrazloženje prenesenog viška ili prenesenog manjka</w:t>
      </w:r>
    </w:p>
    <w:p w:rsidR="008E6B7C" w:rsidRDefault="006E3690" w:rsidP="008E6B7C">
      <w:pPr>
        <w:spacing w:before="60" w:after="60" w:line="240" w:lineRule="auto"/>
        <w:jc w:val="both"/>
        <w:rPr>
          <w:rFonts w:ascii="Bookman Old Style" w:hAnsi="Bookman Old Style" w:cs="Tahoma"/>
          <w:color w:val="000000"/>
          <w:sz w:val="24"/>
          <w:szCs w:val="24"/>
          <w:shd w:val="clear" w:color="auto" w:fill="F5F5F5"/>
        </w:rPr>
      </w:pPr>
      <w:r>
        <w:rPr>
          <w:rFonts w:ascii="Bookman Old Style" w:hAnsi="Bookman Old Style" w:cs="Calibri"/>
          <w:b/>
          <w:sz w:val="24"/>
          <w:szCs w:val="24"/>
        </w:rPr>
        <w:tab/>
      </w:r>
      <w:r w:rsidRPr="006E3690">
        <w:rPr>
          <w:rFonts w:ascii="Bookman Old Style" w:hAnsi="Bookman Old Style" w:cs="Calibri"/>
          <w:sz w:val="24"/>
          <w:szCs w:val="24"/>
        </w:rPr>
        <w:t xml:space="preserve">Preneseni višak iz 2023.g. u stupcu </w:t>
      </w:r>
      <w:r>
        <w:rPr>
          <w:rFonts w:ascii="Bookman Old Style" w:hAnsi="Bookman Old Style" w:cs="Calibri"/>
          <w:sz w:val="24"/>
          <w:szCs w:val="24"/>
        </w:rPr>
        <w:t>2 je umanjen za povrat sredstava u toku 2024.g. u iznosu od 165,64€ i i</w:t>
      </w:r>
      <w:r w:rsidR="00E704EE">
        <w:rPr>
          <w:rFonts w:ascii="Bookman Old Style" w:hAnsi="Bookman Old Style" w:cs="Calibri"/>
          <w:sz w:val="24"/>
          <w:szCs w:val="24"/>
        </w:rPr>
        <w:t>z</w:t>
      </w:r>
      <w:r>
        <w:rPr>
          <w:rFonts w:ascii="Bookman Old Style" w:hAnsi="Bookman Old Style" w:cs="Calibri"/>
          <w:sz w:val="24"/>
          <w:szCs w:val="24"/>
        </w:rPr>
        <w:t>nosi 38.</w:t>
      </w:r>
      <w:r w:rsidR="00E704EE">
        <w:rPr>
          <w:rFonts w:ascii="Bookman Old Style" w:hAnsi="Bookman Old Style" w:cs="Calibri"/>
          <w:sz w:val="24"/>
          <w:szCs w:val="24"/>
        </w:rPr>
        <w:t xml:space="preserve">849,40€, a u stupcu 4 višak iz 2024.g. je umanjen za 23.055,05€ (višak po projektu ERASMUS+2) koji je po uputi o knjiženju EU projekata </w:t>
      </w:r>
      <w:proofErr w:type="spellStart"/>
      <w:r w:rsidR="00E704EE">
        <w:rPr>
          <w:rFonts w:ascii="Bookman Old Style" w:hAnsi="Bookman Old Style" w:cs="Calibri"/>
          <w:sz w:val="24"/>
          <w:szCs w:val="24"/>
        </w:rPr>
        <w:t>preknjižen</w:t>
      </w:r>
      <w:proofErr w:type="spellEnd"/>
      <w:r w:rsidR="00E704EE">
        <w:rPr>
          <w:rFonts w:ascii="Bookman Old Style" w:hAnsi="Bookman Old Style" w:cs="Calibri"/>
          <w:sz w:val="24"/>
          <w:szCs w:val="24"/>
        </w:rPr>
        <w:t xml:space="preserve"> na konto 27521001-</w:t>
      </w:r>
      <w:r w:rsidR="00E704EE" w:rsidRPr="00E704EE">
        <w:rPr>
          <w:rFonts w:ascii="Tahoma" w:hAnsi="Tahoma" w:cs="Tahoma"/>
          <w:color w:val="000000"/>
          <w:sz w:val="16"/>
          <w:szCs w:val="16"/>
          <w:shd w:val="clear" w:color="auto" w:fill="F5F5F5"/>
        </w:rPr>
        <w:t xml:space="preserve"> </w:t>
      </w:r>
      <w:r w:rsidR="00E704EE" w:rsidRPr="008E6B7C">
        <w:rPr>
          <w:rFonts w:ascii="Bookman Old Style" w:hAnsi="Bookman Old Style" w:cs="Tahoma"/>
          <w:color w:val="000000"/>
          <w:sz w:val="24"/>
          <w:szCs w:val="24"/>
          <w:shd w:val="clear" w:color="auto" w:fill="F5F5F5"/>
        </w:rPr>
        <w:t>Obveze za EU predujmove dane iz državnog proračuna</w:t>
      </w:r>
      <w:r w:rsidR="008E6B7C">
        <w:rPr>
          <w:rFonts w:ascii="Bookman Old Style" w:hAnsi="Bookman Old Style" w:cs="Tahoma"/>
          <w:color w:val="000000"/>
          <w:sz w:val="24"/>
          <w:szCs w:val="24"/>
          <w:shd w:val="clear" w:color="auto" w:fill="F5F5F5"/>
        </w:rPr>
        <w:t>. Razlika prihoda i rashoda na kraju 2024.g. iznosi 450,04€, a na kraju 2025.g. imamo manjak prihoda nad rashodima od 133.048,60€ tzv. metodološki manjak kao posljedica promjene knjiženja plaće 12/2025 i kontinuiranih rashoda za 12/2025.g.  na rashode a ne, kao do sada, na vremenska razgraničenja.</w:t>
      </w:r>
    </w:p>
    <w:p w:rsidR="008E6B7C" w:rsidRDefault="008E6B7C" w:rsidP="008E6B7C">
      <w:pPr>
        <w:spacing w:before="60" w:after="60" w:line="240" w:lineRule="auto"/>
        <w:jc w:val="both"/>
        <w:rPr>
          <w:rFonts w:ascii="Bookman Old Style" w:hAnsi="Bookman Old Style" w:cs="Tahoma"/>
          <w:color w:val="000000"/>
          <w:sz w:val="24"/>
          <w:szCs w:val="24"/>
          <w:shd w:val="clear" w:color="auto" w:fill="F5F5F5"/>
        </w:rPr>
      </w:pPr>
      <w:r>
        <w:rPr>
          <w:rFonts w:ascii="Bookman Old Style" w:hAnsi="Bookman Old Style" w:cs="Tahoma"/>
          <w:color w:val="000000"/>
          <w:sz w:val="24"/>
          <w:szCs w:val="24"/>
          <w:shd w:val="clear" w:color="auto" w:fill="F5F5F5"/>
        </w:rPr>
        <w:t>Preneseni manjak u 2026.g. umanjen za preneseni višak iznosi -116.804,21€.</w:t>
      </w:r>
    </w:p>
    <w:p w:rsidR="008E6B7C" w:rsidRDefault="008E6B7C" w:rsidP="008E6B7C">
      <w:pPr>
        <w:spacing w:before="60" w:after="60" w:line="240" w:lineRule="auto"/>
        <w:jc w:val="both"/>
        <w:rPr>
          <w:rFonts w:ascii="Bookman Old Style" w:hAnsi="Bookman Old Style" w:cs="Tahoma"/>
          <w:color w:val="000000"/>
          <w:sz w:val="24"/>
          <w:szCs w:val="24"/>
          <w:shd w:val="clear" w:color="auto" w:fill="F5F5F5"/>
        </w:rPr>
      </w:pPr>
    </w:p>
    <w:p w:rsidR="007B4AE5" w:rsidRDefault="007B4AE5" w:rsidP="008E6B7C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b/>
          <w:i/>
          <w:sz w:val="24"/>
          <w:szCs w:val="24"/>
        </w:rPr>
        <w:t>Izvještaj o prihodima i rashodima prema izvorima financiranja</w:t>
      </w:r>
      <w:r w:rsidRPr="003F4464">
        <w:rPr>
          <w:rFonts w:ascii="Bookman Old Style" w:hAnsi="Bookman Old Style" w:cs="Calibri"/>
          <w:sz w:val="24"/>
          <w:szCs w:val="24"/>
        </w:rPr>
        <w:t xml:space="preserve"> sadrži prikaz prihoda i rashoda  prema izvorima financiranja iskazanih na razini razreda i skupine  sukladno Pravilniku o proračunskim klasifikacijama. </w:t>
      </w:r>
    </w:p>
    <w:p w:rsidR="007B4AE5" w:rsidRPr="003F4464" w:rsidRDefault="007B4AE5" w:rsidP="007B4AE5">
      <w:pPr>
        <w:pStyle w:val="Odlomakpopisa"/>
        <w:spacing w:before="60" w:after="60" w:line="240" w:lineRule="auto"/>
        <w:ind w:firstLine="696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Odnosi se na:</w:t>
      </w:r>
    </w:p>
    <w:p w:rsidR="007B4AE5" w:rsidRPr="003F4464" w:rsidRDefault="007B4AE5" w:rsidP="007B4AE5">
      <w:pPr>
        <w:pStyle w:val="Odlomakpopisa"/>
        <w:spacing w:before="60" w:after="60" w:line="240" w:lineRule="auto"/>
        <w:ind w:left="1416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1.OPĆI PRIHODI I PRIMICI ŠKŽ</w:t>
      </w:r>
    </w:p>
    <w:p w:rsidR="007B4AE5" w:rsidRPr="003F4464" w:rsidRDefault="007B4AE5" w:rsidP="007B4AE5">
      <w:pPr>
        <w:pStyle w:val="Odlomakpopisa"/>
        <w:spacing w:before="60" w:after="60" w:line="240" w:lineRule="auto"/>
        <w:ind w:left="1416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3.VLASTITI PRIHODI</w:t>
      </w:r>
    </w:p>
    <w:p w:rsidR="007B4AE5" w:rsidRPr="003F4464" w:rsidRDefault="007B4AE5" w:rsidP="007B4AE5">
      <w:pPr>
        <w:pStyle w:val="Odlomakpopisa"/>
        <w:spacing w:before="60" w:after="60" w:line="240" w:lineRule="auto"/>
        <w:ind w:left="1416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4.OSTAL</w:t>
      </w:r>
      <w:r>
        <w:rPr>
          <w:rFonts w:ascii="Bookman Old Style" w:hAnsi="Bookman Old Style" w:cs="Calibri"/>
          <w:sz w:val="24"/>
          <w:szCs w:val="24"/>
        </w:rPr>
        <w:t>I</w:t>
      </w:r>
      <w:r w:rsidRPr="003F4464">
        <w:rPr>
          <w:rFonts w:ascii="Bookman Old Style" w:hAnsi="Bookman Old Style" w:cs="Calibri"/>
          <w:sz w:val="24"/>
          <w:szCs w:val="24"/>
        </w:rPr>
        <w:t xml:space="preserve"> PRIHODE  ZA POSEBNE  NAMJENE</w:t>
      </w:r>
    </w:p>
    <w:p w:rsidR="007B4AE5" w:rsidRDefault="007B4AE5" w:rsidP="007B4AE5">
      <w:pPr>
        <w:pStyle w:val="Odlomakpopisa"/>
        <w:spacing w:before="60" w:after="60" w:line="240" w:lineRule="auto"/>
        <w:ind w:left="1416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5.POMOĆI</w:t>
      </w:r>
      <w:r>
        <w:rPr>
          <w:rFonts w:ascii="Bookman Old Style" w:hAnsi="Bookman Old Style" w:cs="Calibri"/>
          <w:sz w:val="24"/>
          <w:szCs w:val="24"/>
        </w:rPr>
        <w:t xml:space="preserve"> EU</w:t>
      </w:r>
    </w:p>
    <w:p w:rsidR="007B4AE5" w:rsidRPr="003F4464" w:rsidRDefault="007B4AE5" w:rsidP="007B4AE5">
      <w:pPr>
        <w:pStyle w:val="Odlomakpopisa"/>
        <w:spacing w:before="60" w:after="60" w:line="240" w:lineRule="auto"/>
        <w:ind w:left="1416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6.POMOĆI</w:t>
      </w:r>
    </w:p>
    <w:p w:rsidR="007B4AE5" w:rsidRDefault="007B4AE5" w:rsidP="007B4AE5">
      <w:pPr>
        <w:pStyle w:val="Odlomakpopisa"/>
        <w:spacing w:before="60" w:after="60" w:line="240" w:lineRule="auto"/>
        <w:ind w:left="1416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7</w:t>
      </w:r>
      <w:r w:rsidRPr="003F4464">
        <w:rPr>
          <w:rFonts w:ascii="Bookman Old Style" w:hAnsi="Bookman Old Style" w:cs="Calibri"/>
          <w:sz w:val="24"/>
          <w:szCs w:val="24"/>
        </w:rPr>
        <w:t>.DONACIJE</w:t>
      </w:r>
    </w:p>
    <w:p w:rsidR="007B4AE5" w:rsidRDefault="007B4AE5" w:rsidP="003F6B19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</w:t>
      </w:r>
      <w:r w:rsidRPr="003F4464">
        <w:rPr>
          <w:rFonts w:ascii="Bookman Old Style" w:hAnsi="Bookman Old Style" w:cs="Calibri"/>
          <w:b/>
          <w:i/>
          <w:sz w:val="24"/>
          <w:szCs w:val="24"/>
        </w:rPr>
        <w:t>Izvještaj  o rashodima prema funkcijskoj klasifikaciji</w:t>
      </w:r>
      <w:r w:rsidRPr="003F4464">
        <w:rPr>
          <w:rFonts w:ascii="Bookman Old Style" w:hAnsi="Bookman Old Style" w:cs="Calibri"/>
          <w:sz w:val="24"/>
          <w:szCs w:val="24"/>
        </w:rPr>
        <w:t xml:space="preserve"> sadrži prikaz rashoda prema funkcijskoj klasifikaciji, a podaci se iskazuju na razini razreda i skupine funkcijske klasifikacije. </w:t>
      </w:r>
    </w:p>
    <w:p w:rsidR="007B4AE5" w:rsidRPr="003F6B19" w:rsidRDefault="007B4AE5" w:rsidP="003F6B19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6B19">
        <w:rPr>
          <w:rFonts w:ascii="Bookman Old Style" w:hAnsi="Bookman Old Style" w:cs="Calibri"/>
          <w:sz w:val="24"/>
          <w:szCs w:val="24"/>
        </w:rPr>
        <w:t>Funkcijska klasifikacija je prikaz rashoda  proračunskih korisnika razvrstan prema njegovoj namjeni SKUPINA 092-srednjoškolsko obrazovanje.</w:t>
      </w:r>
    </w:p>
    <w:p w:rsidR="007B4AE5" w:rsidRPr="003F6B19" w:rsidRDefault="007B4AE5" w:rsidP="003F6B19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6B19">
        <w:rPr>
          <w:rFonts w:ascii="Bookman Old Style" w:hAnsi="Bookman Old Style" w:cs="Calibri"/>
          <w:sz w:val="24"/>
          <w:szCs w:val="24"/>
        </w:rPr>
        <w:t>Izvršenje za 202</w:t>
      </w:r>
      <w:r w:rsidR="000A01C0" w:rsidRPr="003F6B19">
        <w:rPr>
          <w:rFonts w:ascii="Bookman Old Style" w:hAnsi="Bookman Old Style" w:cs="Calibri"/>
          <w:sz w:val="24"/>
          <w:szCs w:val="24"/>
        </w:rPr>
        <w:t>5</w:t>
      </w:r>
      <w:r w:rsidRPr="003F6B19">
        <w:rPr>
          <w:rFonts w:ascii="Bookman Old Style" w:hAnsi="Bookman Old Style" w:cs="Calibri"/>
          <w:sz w:val="24"/>
          <w:szCs w:val="24"/>
        </w:rPr>
        <w:t xml:space="preserve">.godinu </w:t>
      </w:r>
      <w:r w:rsidR="000A01C0" w:rsidRPr="003F6B19">
        <w:rPr>
          <w:rFonts w:ascii="Bookman Old Style" w:hAnsi="Bookman Old Style" w:cs="Calibri"/>
          <w:sz w:val="24"/>
          <w:szCs w:val="24"/>
        </w:rPr>
        <w:t>u odnosu na  2024</w:t>
      </w:r>
      <w:r w:rsidRPr="003F6B19">
        <w:rPr>
          <w:rFonts w:ascii="Bookman Old Style" w:hAnsi="Bookman Old Style" w:cs="Calibri"/>
          <w:sz w:val="24"/>
          <w:szCs w:val="24"/>
        </w:rPr>
        <w:t xml:space="preserve">.g. iznosi </w:t>
      </w:r>
      <w:r w:rsidR="000A01C0" w:rsidRPr="003F6B19">
        <w:rPr>
          <w:rFonts w:ascii="Bookman Old Style" w:hAnsi="Bookman Old Style" w:cs="Calibri"/>
          <w:sz w:val="24"/>
          <w:szCs w:val="24"/>
        </w:rPr>
        <w:t>113,64%.</w:t>
      </w:r>
    </w:p>
    <w:p w:rsidR="007B4AE5" w:rsidRPr="003F4464" w:rsidRDefault="007B4AE5" w:rsidP="007B4AE5">
      <w:pPr>
        <w:pStyle w:val="Odlomakpopisa"/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7B4AE5" w:rsidRDefault="000A01C0" w:rsidP="003F6B19">
      <w:pPr>
        <w:spacing w:before="60" w:after="60" w:line="24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3F6B19">
        <w:rPr>
          <w:rFonts w:ascii="Bookman Old Style" w:hAnsi="Bookman Old Style" w:cs="Calibri"/>
          <w:b/>
          <w:i/>
          <w:sz w:val="24"/>
          <w:szCs w:val="24"/>
        </w:rPr>
        <w:t xml:space="preserve">3.2.  Obrazloženje posebnog dijela </w:t>
      </w:r>
      <w:r w:rsidR="007B4AE5" w:rsidRPr="003F6B19">
        <w:rPr>
          <w:rFonts w:ascii="Bookman Old Style" w:hAnsi="Bookman Old Style" w:cs="Calibri"/>
          <w:b/>
          <w:i/>
          <w:sz w:val="24"/>
          <w:szCs w:val="24"/>
        </w:rPr>
        <w:t>godišnjeg  izvještaja</w:t>
      </w:r>
      <w:r w:rsidR="007B4AE5" w:rsidRPr="003F6B19">
        <w:rPr>
          <w:rFonts w:ascii="Bookman Old Style" w:hAnsi="Bookman Old Style" w:cs="Calibri"/>
          <w:sz w:val="24"/>
          <w:szCs w:val="24"/>
        </w:rPr>
        <w:t xml:space="preserve"> </w:t>
      </w:r>
      <w:r w:rsidR="007B4AE5" w:rsidRPr="003F6B19">
        <w:rPr>
          <w:rFonts w:ascii="Bookman Old Style" w:hAnsi="Bookman Old Style" w:cs="Calibri"/>
          <w:b/>
          <w:sz w:val="24"/>
          <w:szCs w:val="24"/>
        </w:rPr>
        <w:t xml:space="preserve">o izvršenju </w:t>
      </w:r>
      <w:r w:rsidRPr="003F6B19">
        <w:rPr>
          <w:rFonts w:ascii="Bookman Old Style" w:hAnsi="Bookman Old Style" w:cs="Calibri"/>
          <w:b/>
          <w:sz w:val="24"/>
          <w:szCs w:val="24"/>
        </w:rPr>
        <w:t xml:space="preserve">    </w:t>
      </w:r>
      <w:r w:rsidR="003F6B19">
        <w:rPr>
          <w:rFonts w:ascii="Bookman Old Style" w:hAnsi="Bookman Old Style" w:cs="Calibri"/>
          <w:b/>
          <w:sz w:val="24"/>
          <w:szCs w:val="24"/>
        </w:rPr>
        <w:t xml:space="preserve">  </w:t>
      </w:r>
    </w:p>
    <w:p w:rsidR="003F6B19" w:rsidRPr="003F6B19" w:rsidRDefault="003F6B19" w:rsidP="003F6B19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i/>
          <w:sz w:val="24"/>
          <w:szCs w:val="24"/>
        </w:rPr>
        <w:tab/>
      </w:r>
      <w:r w:rsidRPr="003F6B19">
        <w:rPr>
          <w:rFonts w:ascii="Bookman Old Style" w:hAnsi="Bookman Old Style" w:cs="Calibri"/>
          <w:b/>
          <w:sz w:val="24"/>
          <w:szCs w:val="24"/>
        </w:rPr>
        <w:t>financijskog plana</w:t>
      </w:r>
    </w:p>
    <w:p w:rsidR="007B4AE5" w:rsidRPr="003F6B19" w:rsidRDefault="000A01C0" w:rsidP="003F6B19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6B19">
        <w:rPr>
          <w:rFonts w:ascii="Bookman Old Style" w:hAnsi="Bookman Old Style" w:cs="Calibri"/>
          <w:sz w:val="24"/>
          <w:szCs w:val="24"/>
        </w:rPr>
        <w:t>Posebni dio izvještaja s</w:t>
      </w:r>
      <w:r w:rsidR="007B4AE5" w:rsidRPr="003F6B19">
        <w:rPr>
          <w:rFonts w:ascii="Bookman Old Style" w:hAnsi="Bookman Old Style" w:cs="Calibri"/>
          <w:sz w:val="24"/>
          <w:szCs w:val="24"/>
        </w:rPr>
        <w:t>adrži prikaz RASHODA I IZDATAKA iskazani</w:t>
      </w:r>
      <w:r w:rsidRPr="003F6B19">
        <w:rPr>
          <w:rFonts w:ascii="Bookman Old Style" w:hAnsi="Bookman Old Style" w:cs="Calibri"/>
          <w:sz w:val="24"/>
          <w:szCs w:val="24"/>
        </w:rPr>
        <w:t xml:space="preserve">h </w:t>
      </w:r>
      <w:r w:rsidR="007B4AE5" w:rsidRPr="003F6B19">
        <w:rPr>
          <w:rFonts w:ascii="Bookman Old Style" w:hAnsi="Bookman Old Style" w:cs="Calibri"/>
          <w:sz w:val="24"/>
          <w:szCs w:val="24"/>
        </w:rPr>
        <w:t>po izvorima financiranja i ekonomskoj klasifikaciji raspoređenih u programe koji se sastoje od aktivnosti i projekata.</w:t>
      </w:r>
    </w:p>
    <w:p w:rsidR="007B4AE5" w:rsidRPr="003F6B19" w:rsidRDefault="007B4AE5" w:rsidP="003F6B19">
      <w:pPr>
        <w:spacing w:before="60" w:after="60" w:line="240" w:lineRule="auto"/>
        <w:jc w:val="both"/>
        <w:rPr>
          <w:rFonts w:ascii="Bookman Old Style" w:hAnsi="Bookman Old Style" w:cs="Calibri"/>
          <w:b/>
          <w:i/>
          <w:sz w:val="24"/>
          <w:szCs w:val="24"/>
        </w:rPr>
      </w:pPr>
      <w:r w:rsidRPr="003F6B19">
        <w:rPr>
          <w:rFonts w:ascii="Bookman Old Style" w:hAnsi="Bookman Old Style" w:cs="Calibri"/>
          <w:b/>
          <w:i/>
          <w:sz w:val="24"/>
          <w:szCs w:val="24"/>
        </w:rPr>
        <w:t>Svaka aktivnost i projekt ima svoj cilj:</w:t>
      </w:r>
    </w:p>
    <w:p w:rsidR="007B4AE5" w:rsidRPr="003F4464" w:rsidRDefault="007B4AE5" w:rsidP="007B4AE5">
      <w:pPr>
        <w:pStyle w:val="Odlomakpopisa"/>
        <w:numPr>
          <w:ilvl w:val="0"/>
          <w:numId w:val="8"/>
        </w:num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A1007-10 Aktivnost srednjoškolsko obrazovanje – standard; cilj je financiranje minimalnog standarda za odvijanje  redovitog nastavnog procesa</w:t>
      </w:r>
      <w:r>
        <w:rPr>
          <w:rFonts w:ascii="Bookman Old Style" w:hAnsi="Bookman Old Style" w:cs="Calibri"/>
          <w:sz w:val="24"/>
          <w:szCs w:val="24"/>
        </w:rPr>
        <w:t>. Izvršenje u odnosu na plan-rebalans 202</w:t>
      </w:r>
      <w:r w:rsidR="000A01C0">
        <w:rPr>
          <w:rFonts w:ascii="Bookman Old Style" w:hAnsi="Bookman Old Style" w:cs="Calibri"/>
          <w:sz w:val="24"/>
          <w:szCs w:val="24"/>
        </w:rPr>
        <w:t>5</w:t>
      </w:r>
      <w:r>
        <w:rPr>
          <w:rFonts w:ascii="Bookman Old Style" w:hAnsi="Bookman Old Style" w:cs="Calibri"/>
          <w:sz w:val="24"/>
          <w:szCs w:val="24"/>
        </w:rPr>
        <w:t xml:space="preserve">.g. je </w:t>
      </w:r>
      <w:r w:rsidR="000A01C0">
        <w:rPr>
          <w:rFonts w:ascii="Bookman Old Style" w:hAnsi="Bookman Old Style" w:cs="Calibri"/>
          <w:sz w:val="24"/>
          <w:szCs w:val="24"/>
        </w:rPr>
        <w:t>102</w:t>
      </w:r>
      <w:r>
        <w:rPr>
          <w:rFonts w:ascii="Bookman Old Style" w:hAnsi="Bookman Old Style" w:cs="Calibri"/>
          <w:sz w:val="24"/>
          <w:szCs w:val="24"/>
        </w:rPr>
        <w:t>,</w:t>
      </w:r>
      <w:r w:rsidR="000A01C0">
        <w:rPr>
          <w:rFonts w:ascii="Bookman Old Style" w:hAnsi="Bookman Old Style" w:cs="Calibri"/>
          <w:sz w:val="24"/>
          <w:szCs w:val="24"/>
        </w:rPr>
        <w:t>49</w:t>
      </w:r>
      <w:r>
        <w:rPr>
          <w:rFonts w:ascii="Bookman Old Style" w:hAnsi="Bookman Old Style" w:cs="Calibri"/>
          <w:sz w:val="24"/>
          <w:szCs w:val="24"/>
        </w:rPr>
        <w:t>%.</w:t>
      </w:r>
      <w:r w:rsidR="006C5631">
        <w:rPr>
          <w:rFonts w:ascii="Bookman Old Style" w:hAnsi="Bookman Old Style" w:cs="Calibri"/>
          <w:sz w:val="24"/>
          <w:szCs w:val="24"/>
        </w:rPr>
        <w:t xml:space="preserve"> Razlog prekoračenja planiranih sredstava je zbog promjene u knjiženju kontinuiranih rashoda za 12/25.</w:t>
      </w:r>
    </w:p>
    <w:p w:rsidR="007B4AE5" w:rsidRPr="003F4464" w:rsidRDefault="007B4AE5" w:rsidP="007B4AE5">
      <w:pPr>
        <w:pStyle w:val="Odlomakpopisa"/>
        <w:numPr>
          <w:ilvl w:val="0"/>
          <w:numId w:val="8"/>
        </w:num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A1007-11 Operativni plan ; cilj je  tekuće održavanje  školske zgrade i opreme</w:t>
      </w:r>
      <w:r>
        <w:rPr>
          <w:rFonts w:ascii="Bookman Old Style" w:hAnsi="Bookman Old Style" w:cs="Calibri"/>
          <w:sz w:val="24"/>
          <w:szCs w:val="24"/>
        </w:rPr>
        <w:t>. Izvršenj</w:t>
      </w:r>
      <w:r w:rsidR="000A01C0">
        <w:rPr>
          <w:rFonts w:ascii="Bookman Old Style" w:hAnsi="Bookman Old Style" w:cs="Calibri"/>
          <w:sz w:val="24"/>
          <w:szCs w:val="24"/>
        </w:rPr>
        <w:t>e</w:t>
      </w:r>
      <w:r>
        <w:rPr>
          <w:rFonts w:ascii="Bookman Old Style" w:hAnsi="Bookman Old Style" w:cs="Calibri"/>
          <w:sz w:val="24"/>
          <w:szCs w:val="24"/>
        </w:rPr>
        <w:t xml:space="preserve"> u 202</w:t>
      </w:r>
      <w:r w:rsidR="000A01C0">
        <w:rPr>
          <w:rFonts w:ascii="Bookman Old Style" w:hAnsi="Bookman Old Style" w:cs="Calibri"/>
          <w:sz w:val="24"/>
          <w:szCs w:val="24"/>
        </w:rPr>
        <w:t>5</w:t>
      </w:r>
      <w:r>
        <w:rPr>
          <w:rFonts w:ascii="Bookman Old Style" w:hAnsi="Bookman Old Style" w:cs="Calibri"/>
          <w:sz w:val="24"/>
          <w:szCs w:val="24"/>
        </w:rPr>
        <w:t>. u odnosu na plan je 100,00%..</w:t>
      </w:r>
    </w:p>
    <w:p w:rsidR="007B4AE5" w:rsidRPr="003F4464" w:rsidRDefault="007B4AE5" w:rsidP="007B4AE5">
      <w:pPr>
        <w:pStyle w:val="Odlomakpopisa"/>
        <w:numPr>
          <w:ilvl w:val="0"/>
          <w:numId w:val="8"/>
        </w:num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lastRenderedPageBreak/>
        <w:t>A1007-12 Podizanje kvalitete i standarda kroz aktivnosti škole ; cilj je  pokriće materijalnih rashoda za koja nisu dovoljna sredstva iz decentralizacije, nabava osnovnih sredstava, pomoći učenicima, razne aktivnosti</w:t>
      </w:r>
      <w:r>
        <w:rPr>
          <w:rFonts w:ascii="Bookman Old Style" w:hAnsi="Bookman Old Style" w:cs="Calibri"/>
          <w:sz w:val="24"/>
          <w:szCs w:val="24"/>
        </w:rPr>
        <w:t>, natjecanja, maturalni ples</w:t>
      </w:r>
      <w:r w:rsidRPr="003F4464">
        <w:rPr>
          <w:rFonts w:ascii="Bookman Old Style" w:hAnsi="Bookman Old Style" w:cs="Calibri"/>
          <w:sz w:val="24"/>
          <w:szCs w:val="24"/>
        </w:rPr>
        <w:t xml:space="preserve"> i ostalo.</w:t>
      </w:r>
      <w:r>
        <w:rPr>
          <w:rFonts w:ascii="Bookman Old Style" w:hAnsi="Bookman Old Style" w:cs="Calibri"/>
          <w:sz w:val="24"/>
          <w:szCs w:val="24"/>
        </w:rPr>
        <w:t xml:space="preserve"> Ostvarenje u odnosu na plan-rebalans 202</w:t>
      </w:r>
      <w:r w:rsidR="000A01C0">
        <w:rPr>
          <w:rFonts w:ascii="Bookman Old Style" w:hAnsi="Bookman Old Style" w:cs="Calibri"/>
          <w:sz w:val="24"/>
          <w:szCs w:val="24"/>
        </w:rPr>
        <w:t>5</w:t>
      </w:r>
      <w:r>
        <w:rPr>
          <w:rFonts w:ascii="Bookman Old Style" w:hAnsi="Bookman Old Style" w:cs="Calibri"/>
          <w:sz w:val="24"/>
          <w:szCs w:val="24"/>
        </w:rPr>
        <w:t xml:space="preserve">.g. je </w:t>
      </w:r>
      <w:r w:rsidR="000A01C0">
        <w:rPr>
          <w:rFonts w:ascii="Bookman Old Style" w:hAnsi="Bookman Old Style" w:cs="Calibri"/>
          <w:sz w:val="24"/>
          <w:szCs w:val="24"/>
        </w:rPr>
        <w:t>72,72</w:t>
      </w:r>
      <w:r>
        <w:rPr>
          <w:rFonts w:ascii="Bookman Old Style" w:hAnsi="Bookman Old Style" w:cs="Calibri"/>
          <w:sz w:val="24"/>
          <w:szCs w:val="24"/>
        </w:rPr>
        <w:t>%.</w:t>
      </w:r>
    </w:p>
    <w:p w:rsidR="007B4AE5" w:rsidRPr="003F4464" w:rsidRDefault="007B4AE5" w:rsidP="007B4AE5">
      <w:pPr>
        <w:pStyle w:val="Odlomakpopisa"/>
        <w:numPr>
          <w:ilvl w:val="0"/>
          <w:numId w:val="8"/>
        </w:num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A1007-70 Kapitalna ulaganja ; cilj je nabava osnovnih sredstava za školu</w:t>
      </w:r>
      <w:r>
        <w:rPr>
          <w:rFonts w:ascii="Bookman Old Style" w:hAnsi="Bookman Old Style" w:cs="Calibri"/>
          <w:sz w:val="24"/>
          <w:szCs w:val="24"/>
        </w:rPr>
        <w:t>, izvor 12, izvršenje u 202</w:t>
      </w:r>
      <w:r w:rsidR="003F6B19">
        <w:rPr>
          <w:rFonts w:ascii="Bookman Old Style" w:hAnsi="Bookman Old Style" w:cs="Calibri"/>
          <w:sz w:val="24"/>
          <w:szCs w:val="24"/>
        </w:rPr>
        <w:t>5</w:t>
      </w:r>
      <w:r>
        <w:rPr>
          <w:rFonts w:ascii="Bookman Old Style" w:hAnsi="Bookman Old Style" w:cs="Calibri"/>
          <w:sz w:val="24"/>
          <w:szCs w:val="24"/>
        </w:rPr>
        <w:t>. u odnosu na plan je 9</w:t>
      </w:r>
      <w:r w:rsidR="003F6B19">
        <w:rPr>
          <w:rFonts w:ascii="Bookman Old Style" w:hAnsi="Bookman Old Style" w:cs="Calibri"/>
          <w:sz w:val="24"/>
          <w:szCs w:val="24"/>
        </w:rPr>
        <w:t>9</w:t>
      </w:r>
      <w:r>
        <w:rPr>
          <w:rFonts w:ascii="Bookman Old Style" w:hAnsi="Bookman Old Style" w:cs="Calibri"/>
          <w:sz w:val="24"/>
          <w:szCs w:val="24"/>
        </w:rPr>
        <w:t>,</w:t>
      </w:r>
      <w:r w:rsidR="003F6B19">
        <w:rPr>
          <w:rFonts w:ascii="Bookman Old Style" w:hAnsi="Bookman Old Style" w:cs="Calibri"/>
          <w:sz w:val="24"/>
          <w:szCs w:val="24"/>
        </w:rPr>
        <w:t>89</w:t>
      </w:r>
      <w:r>
        <w:rPr>
          <w:rFonts w:ascii="Bookman Old Style" w:hAnsi="Bookman Old Style" w:cs="Calibri"/>
          <w:sz w:val="24"/>
          <w:szCs w:val="24"/>
        </w:rPr>
        <w:t>%.</w:t>
      </w:r>
    </w:p>
    <w:p w:rsidR="007B4AE5" w:rsidRPr="003F4464" w:rsidRDefault="003F6B19" w:rsidP="007B4AE5">
      <w:pPr>
        <w:pStyle w:val="Odlomakpopisa"/>
        <w:numPr>
          <w:ilvl w:val="0"/>
          <w:numId w:val="8"/>
        </w:num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T</w:t>
      </w:r>
      <w:r w:rsidR="007B4AE5" w:rsidRPr="003F4464">
        <w:rPr>
          <w:rFonts w:ascii="Bookman Old Style" w:hAnsi="Bookman Old Style" w:cs="Calibri"/>
          <w:sz w:val="24"/>
          <w:szCs w:val="24"/>
        </w:rPr>
        <w:t>1007-34 Opskrba školskih ustanova besplatnim zalihama menstrualnih potrepština;</w:t>
      </w:r>
      <w:r w:rsidR="007B4AE5">
        <w:rPr>
          <w:rFonts w:ascii="Bookman Old Style" w:hAnsi="Bookman Old Style" w:cs="Calibri"/>
          <w:sz w:val="24"/>
          <w:szCs w:val="24"/>
        </w:rPr>
        <w:t xml:space="preserve"> izvršenj</w:t>
      </w:r>
      <w:r>
        <w:rPr>
          <w:rFonts w:ascii="Bookman Old Style" w:hAnsi="Bookman Old Style" w:cs="Calibri"/>
          <w:sz w:val="24"/>
          <w:szCs w:val="24"/>
        </w:rPr>
        <w:t>e</w:t>
      </w:r>
      <w:r w:rsidR="007B4AE5">
        <w:rPr>
          <w:rFonts w:ascii="Bookman Old Style" w:hAnsi="Bookman Old Style" w:cs="Calibri"/>
          <w:sz w:val="24"/>
          <w:szCs w:val="24"/>
        </w:rPr>
        <w:t xml:space="preserve"> u 202</w:t>
      </w:r>
      <w:r>
        <w:rPr>
          <w:rFonts w:ascii="Bookman Old Style" w:hAnsi="Bookman Old Style" w:cs="Calibri"/>
          <w:sz w:val="24"/>
          <w:szCs w:val="24"/>
        </w:rPr>
        <w:t>5</w:t>
      </w:r>
      <w:r w:rsidR="007B4AE5">
        <w:rPr>
          <w:rFonts w:ascii="Bookman Old Style" w:hAnsi="Bookman Old Style" w:cs="Calibri"/>
          <w:sz w:val="24"/>
          <w:szCs w:val="24"/>
        </w:rPr>
        <w:t xml:space="preserve">. u odnosu na plan je </w:t>
      </w:r>
      <w:r>
        <w:rPr>
          <w:rFonts w:ascii="Bookman Old Style" w:hAnsi="Bookman Old Style" w:cs="Calibri"/>
          <w:sz w:val="24"/>
          <w:szCs w:val="24"/>
        </w:rPr>
        <w:t>99,94</w:t>
      </w:r>
      <w:r w:rsidR="007B4AE5">
        <w:rPr>
          <w:rFonts w:ascii="Bookman Old Style" w:hAnsi="Bookman Old Style" w:cs="Calibri"/>
          <w:sz w:val="24"/>
          <w:szCs w:val="24"/>
        </w:rPr>
        <w:t>%.</w:t>
      </w:r>
    </w:p>
    <w:p w:rsidR="007B4AE5" w:rsidRDefault="007B4AE5" w:rsidP="007B4AE5">
      <w:pPr>
        <w:pStyle w:val="Odlomakpopisa"/>
        <w:spacing w:before="60" w:after="60" w:line="240" w:lineRule="auto"/>
        <w:ind w:left="1080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Cilj ovog projekta je podjela besplatnih higijenskih potrepština učenicama</w:t>
      </w:r>
      <w:r w:rsidR="003F6B19">
        <w:rPr>
          <w:rFonts w:ascii="Bookman Old Style" w:hAnsi="Bookman Old Style" w:cs="Calibri"/>
          <w:sz w:val="24"/>
          <w:szCs w:val="24"/>
        </w:rPr>
        <w:t>.</w:t>
      </w:r>
    </w:p>
    <w:p w:rsidR="007B4AE5" w:rsidRDefault="007B4AE5" w:rsidP="007B4AE5">
      <w:pPr>
        <w:pStyle w:val="Odlomakpopisa"/>
        <w:numPr>
          <w:ilvl w:val="0"/>
          <w:numId w:val="9"/>
        </w:numPr>
        <w:jc w:val="both"/>
        <w:rPr>
          <w:rFonts w:ascii="Bookman Old Style" w:eastAsia="Times New Roman" w:hAnsi="Bookman Old Style" w:cs="Arial"/>
          <w:bCs/>
          <w:color w:val="000000"/>
          <w:sz w:val="24"/>
          <w:szCs w:val="24"/>
          <w:lang w:eastAsia="hr-HR"/>
        </w:rPr>
      </w:pPr>
      <w:r w:rsidRPr="008621F1">
        <w:rPr>
          <w:rFonts w:ascii="Bookman Old Style" w:hAnsi="Bookman Old Style" w:cs="Calibri"/>
          <w:sz w:val="24"/>
          <w:szCs w:val="24"/>
        </w:rPr>
        <w:t xml:space="preserve">T 1007-40 </w:t>
      </w:r>
      <w:r w:rsidRPr="008621F1">
        <w:rPr>
          <w:rFonts w:ascii="Bookman Old Style" w:eastAsia="Times New Roman" w:hAnsi="Bookman Old Style" w:cs="Arial"/>
          <w:bCs/>
          <w:color w:val="000000"/>
          <w:sz w:val="24"/>
          <w:szCs w:val="24"/>
          <w:lang w:eastAsia="hr-HR"/>
        </w:rPr>
        <w:t>ERASMUS+ Moje europsko strukovno iskustvo</w:t>
      </w:r>
    </w:p>
    <w:p w:rsidR="007B4AE5" w:rsidRDefault="007B4AE5" w:rsidP="007B4AE5">
      <w:pPr>
        <w:pStyle w:val="Odlomakpopisa"/>
        <w:ind w:left="11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Cilj projekta je </w:t>
      </w:r>
      <w:r w:rsidRPr="008621F1">
        <w:rPr>
          <w:rFonts w:ascii="Bookman Old Style" w:hAnsi="Bookman Old Style"/>
          <w:sz w:val="24"/>
          <w:szCs w:val="24"/>
        </w:rPr>
        <w:t xml:space="preserve">stjecanje iskustava temeljenih na radu u sektoru </w:t>
      </w:r>
    </w:p>
    <w:p w:rsidR="007B4AE5" w:rsidRPr="008621F1" w:rsidRDefault="007B4AE5" w:rsidP="007B4AE5">
      <w:pPr>
        <w:pStyle w:val="Odlomakpopisa"/>
        <w:ind w:left="1125"/>
        <w:jc w:val="both"/>
        <w:rPr>
          <w:rFonts w:ascii="Bookman Old Style" w:hAnsi="Bookman Old Style" w:cs="Calibri"/>
          <w:sz w:val="24"/>
          <w:szCs w:val="24"/>
        </w:rPr>
      </w:pPr>
      <w:r w:rsidRPr="008621F1">
        <w:rPr>
          <w:rFonts w:ascii="Bookman Old Style" w:hAnsi="Bookman Old Style"/>
          <w:sz w:val="24"/>
          <w:szCs w:val="24"/>
        </w:rPr>
        <w:t>Ugostiteljstva i turizma</w:t>
      </w:r>
      <w:r w:rsidRPr="008621F1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u zemljama EU. Projekt je realizi</w:t>
      </w:r>
      <w:r w:rsidR="003F6B19">
        <w:rPr>
          <w:rFonts w:ascii="Bookman Old Style" w:hAnsi="Bookman Old Style" w:cs="Calibri"/>
          <w:sz w:val="24"/>
          <w:szCs w:val="24"/>
        </w:rPr>
        <w:t xml:space="preserve">ran u prvom polugodištu, </w:t>
      </w:r>
      <w:r>
        <w:rPr>
          <w:rFonts w:ascii="Bookman Old Style" w:hAnsi="Bookman Old Style" w:cs="Calibri"/>
          <w:sz w:val="24"/>
          <w:szCs w:val="24"/>
        </w:rPr>
        <w:t>završni izvještaj</w:t>
      </w:r>
      <w:r w:rsidR="003F6B19">
        <w:rPr>
          <w:rFonts w:ascii="Bookman Old Style" w:hAnsi="Bookman Old Style" w:cs="Calibri"/>
          <w:sz w:val="24"/>
          <w:szCs w:val="24"/>
        </w:rPr>
        <w:t xml:space="preserve"> prihvaćen i izv</w:t>
      </w:r>
      <w:r w:rsidR="0012696C">
        <w:rPr>
          <w:rFonts w:ascii="Bookman Old Style" w:hAnsi="Bookman Old Style" w:cs="Calibri"/>
          <w:sz w:val="24"/>
          <w:szCs w:val="24"/>
        </w:rPr>
        <w:t>r</w:t>
      </w:r>
      <w:r w:rsidR="003F6B19">
        <w:rPr>
          <w:rFonts w:ascii="Bookman Old Style" w:hAnsi="Bookman Old Style" w:cs="Calibri"/>
          <w:sz w:val="24"/>
          <w:szCs w:val="24"/>
        </w:rPr>
        <w:t>šena konačna isplata po projektu</w:t>
      </w:r>
      <w:r>
        <w:rPr>
          <w:rFonts w:ascii="Bookman Old Style" w:hAnsi="Bookman Old Style" w:cs="Calibri"/>
          <w:sz w:val="24"/>
          <w:szCs w:val="24"/>
        </w:rPr>
        <w:t>.</w:t>
      </w:r>
      <w:r w:rsidR="003F6B19">
        <w:rPr>
          <w:rFonts w:ascii="Bookman Old Style" w:hAnsi="Bookman Old Style" w:cs="Calibri"/>
          <w:sz w:val="24"/>
          <w:szCs w:val="24"/>
        </w:rPr>
        <w:t xml:space="preserve"> Nakon povrata </w:t>
      </w:r>
      <w:proofErr w:type="spellStart"/>
      <w:r w:rsidR="003F6B19">
        <w:rPr>
          <w:rFonts w:ascii="Bookman Old Style" w:hAnsi="Bookman Old Style" w:cs="Calibri"/>
          <w:sz w:val="24"/>
          <w:szCs w:val="24"/>
        </w:rPr>
        <w:t>predfinanciranja</w:t>
      </w:r>
      <w:proofErr w:type="spellEnd"/>
      <w:r w:rsidR="003F6B19">
        <w:rPr>
          <w:rFonts w:ascii="Bookman Old Style" w:hAnsi="Bookman Old Style" w:cs="Calibri"/>
          <w:sz w:val="24"/>
          <w:szCs w:val="24"/>
        </w:rPr>
        <w:t xml:space="preserve"> ŠKŽ-u ostalo raspoloživo 681,00€.</w:t>
      </w:r>
    </w:p>
    <w:p w:rsidR="007B4AE5" w:rsidRDefault="007B4AE5" w:rsidP="007B4AE5">
      <w:pPr>
        <w:pStyle w:val="Odlomakpopisa"/>
        <w:numPr>
          <w:ilvl w:val="0"/>
          <w:numId w:val="8"/>
        </w:num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A</w:t>
      </w:r>
      <w:r w:rsidR="00CC1FD4">
        <w:rPr>
          <w:rFonts w:ascii="Bookman Old Style" w:hAnsi="Bookman Old Style" w:cs="Calibri"/>
          <w:sz w:val="24"/>
          <w:szCs w:val="24"/>
        </w:rPr>
        <w:t xml:space="preserve"> </w:t>
      </w:r>
      <w:r w:rsidRPr="003F4464">
        <w:rPr>
          <w:rFonts w:ascii="Bookman Old Style" w:hAnsi="Bookman Old Style" w:cs="Calibri"/>
          <w:sz w:val="24"/>
          <w:szCs w:val="24"/>
        </w:rPr>
        <w:t xml:space="preserve">1007-56  Redovna djelatnost škola; cilj je financiranje rashoda za </w:t>
      </w:r>
    </w:p>
    <w:p w:rsidR="007B4AE5" w:rsidRDefault="007B4AE5" w:rsidP="007B4AE5">
      <w:pPr>
        <w:pStyle w:val="Odlomakpopisa"/>
        <w:spacing w:before="60" w:after="60" w:line="240" w:lineRule="auto"/>
        <w:ind w:left="1080"/>
        <w:jc w:val="both"/>
        <w:rPr>
          <w:rFonts w:ascii="Bookman Old Style" w:hAnsi="Bookman Old Style" w:cs="Calibri"/>
          <w:sz w:val="24"/>
          <w:szCs w:val="24"/>
        </w:rPr>
      </w:pPr>
      <w:r w:rsidRPr="003F4464">
        <w:rPr>
          <w:rFonts w:ascii="Bookman Old Style" w:hAnsi="Bookman Old Style" w:cs="Calibri"/>
          <w:sz w:val="24"/>
          <w:szCs w:val="24"/>
        </w:rPr>
        <w:t>zaposlene i naknada.</w:t>
      </w:r>
    </w:p>
    <w:p w:rsidR="00CC1FD4" w:rsidRDefault="00CC1FD4" w:rsidP="00CC1FD4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K1007-59 Sigurnost u školama</w:t>
      </w:r>
    </w:p>
    <w:p w:rsidR="00CC1FD4" w:rsidRPr="00CC1FD4" w:rsidRDefault="00CC1FD4" w:rsidP="00CC1FD4">
      <w:pPr>
        <w:pStyle w:val="Odlomakpopisa"/>
        <w:spacing w:before="60" w:after="60" w:line="240" w:lineRule="auto"/>
        <w:ind w:left="1125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Cilj je omogućiti siguran boravak u školama svim akterima srednjoškolskog obrazovanja. </w:t>
      </w:r>
    </w:p>
    <w:p w:rsidR="007B4AE5" w:rsidRPr="00CC1FD4" w:rsidRDefault="007B4AE5" w:rsidP="00CC1FD4">
      <w:pPr>
        <w:pStyle w:val="Odlomakpopisa"/>
        <w:numPr>
          <w:ilvl w:val="0"/>
          <w:numId w:val="9"/>
        </w:numPr>
        <w:spacing w:before="60"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CC1FD4">
        <w:rPr>
          <w:rFonts w:ascii="Bookman Old Style" w:hAnsi="Bookman Old Style" w:cs="Calibri"/>
          <w:sz w:val="24"/>
          <w:szCs w:val="24"/>
        </w:rPr>
        <w:t xml:space="preserve">A 1007-61 ERASMUS +2 Moje europsko strukovno iskustvo 2 </w:t>
      </w:r>
    </w:p>
    <w:p w:rsidR="007B4AE5" w:rsidRDefault="007B4AE5" w:rsidP="00CC1FD4">
      <w:pPr>
        <w:pStyle w:val="Odlomakpopisa"/>
        <w:spacing w:after="0"/>
        <w:ind w:left="11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Cilj projekta je </w:t>
      </w:r>
      <w:r w:rsidRPr="008621F1">
        <w:rPr>
          <w:rFonts w:ascii="Bookman Old Style" w:hAnsi="Bookman Old Style"/>
          <w:sz w:val="24"/>
          <w:szCs w:val="24"/>
        </w:rPr>
        <w:t xml:space="preserve">stjecanje iskustava temeljenih na radu u sektoru </w:t>
      </w:r>
    </w:p>
    <w:p w:rsidR="007B4AE5" w:rsidRDefault="007B4AE5" w:rsidP="00CC1FD4">
      <w:pPr>
        <w:pStyle w:val="Odlomakpopisa"/>
        <w:spacing w:after="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8621F1">
        <w:rPr>
          <w:rFonts w:ascii="Bookman Old Style" w:hAnsi="Bookman Old Style"/>
          <w:sz w:val="24"/>
          <w:szCs w:val="24"/>
        </w:rPr>
        <w:t>Ugostiteljstva i turizma</w:t>
      </w:r>
      <w:r w:rsidRPr="008621F1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u zemljama EU. Projekt je započeo u 2024.</w:t>
      </w:r>
      <w:r w:rsidR="00CC1FD4">
        <w:rPr>
          <w:rFonts w:ascii="Bookman Old Style" w:hAnsi="Bookman Old Style" w:cs="Calibri"/>
          <w:sz w:val="24"/>
          <w:szCs w:val="24"/>
        </w:rPr>
        <w:t>.</w:t>
      </w:r>
    </w:p>
    <w:p w:rsidR="00CC1FD4" w:rsidRDefault="00CC1FD4" w:rsidP="00CC1FD4">
      <w:pPr>
        <w:spacing w:after="0"/>
        <w:ind w:firstLine="708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</w:t>
      </w:r>
      <w:r w:rsidRPr="00CC1FD4">
        <w:rPr>
          <w:rFonts w:ascii="Bookman Old Style" w:hAnsi="Bookman Old Style" w:cs="Calibri"/>
          <w:sz w:val="24"/>
          <w:szCs w:val="24"/>
        </w:rPr>
        <w:t xml:space="preserve">U 2025. su dovršene aktivnosti po projektu. Predaja </w:t>
      </w:r>
      <w:r w:rsidR="007B4AE5" w:rsidRPr="00CC1FD4">
        <w:rPr>
          <w:rFonts w:ascii="Bookman Old Style" w:hAnsi="Bookman Old Style" w:cs="Calibri"/>
          <w:sz w:val="24"/>
          <w:szCs w:val="24"/>
        </w:rPr>
        <w:t xml:space="preserve"> završ</w:t>
      </w:r>
      <w:r w:rsidRPr="00CC1FD4">
        <w:rPr>
          <w:rFonts w:ascii="Bookman Old Style" w:hAnsi="Bookman Old Style" w:cs="Calibri"/>
          <w:sz w:val="24"/>
          <w:szCs w:val="24"/>
        </w:rPr>
        <w:t xml:space="preserve">nog </w:t>
      </w:r>
      <w:r>
        <w:rPr>
          <w:rFonts w:ascii="Bookman Old Style" w:hAnsi="Bookman Old Style" w:cs="Calibri"/>
          <w:sz w:val="24"/>
          <w:szCs w:val="24"/>
        </w:rPr>
        <w:t xml:space="preserve"> </w:t>
      </w:r>
    </w:p>
    <w:p w:rsidR="007B4AE5" w:rsidRPr="00CC1FD4" w:rsidRDefault="00CC1FD4" w:rsidP="00CC1FD4">
      <w:pPr>
        <w:spacing w:after="0"/>
        <w:ind w:firstLine="708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Izvještaja obavljena je u ožujku ove godine</w:t>
      </w:r>
      <w:r w:rsidR="0012696C">
        <w:rPr>
          <w:rFonts w:ascii="Bookman Old Style" w:hAnsi="Bookman Old Style" w:cs="Calibri"/>
          <w:sz w:val="24"/>
          <w:szCs w:val="24"/>
        </w:rPr>
        <w:t>.</w:t>
      </w:r>
      <w:r>
        <w:rPr>
          <w:rFonts w:ascii="Bookman Old Style" w:hAnsi="Bookman Old Style" w:cs="Calibri"/>
          <w:sz w:val="24"/>
          <w:szCs w:val="24"/>
        </w:rPr>
        <w:t xml:space="preserve">  </w:t>
      </w:r>
    </w:p>
    <w:p w:rsidR="007B4AE5" w:rsidRDefault="007B4AE5" w:rsidP="007B4AE5">
      <w:pPr>
        <w:pStyle w:val="Odlomakpopisa"/>
        <w:rPr>
          <w:rFonts w:ascii="Bookman Old Style" w:hAnsi="Bookman Old Style" w:cs="Calibri"/>
          <w:sz w:val="24"/>
          <w:szCs w:val="24"/>
        </w:rPr>
      </w:pPr>
    </w:p>
    <w:p w:rsidR="007B4AE5" w:rsidRDefault="007B4AE5" w:rsidP="007B4AE5">
      <w:pPr>
        <w:pStyle w:val="Odlomakpopisa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</w:t>
      </w:r>
      <w:r>
        <w:rPr>
          <w:rFonts w:ascii="Bookman Old Style" w:hAnsi="Bookman Old Style" w:cs="Calibri"/>
          <w:b/>
          <w:sz w:val="24"/>
          <w:szCs w:val="24"/>
        </w:rPr>
        <w:t>POSEBNI IZVJEŠTAJI</w:t>
      </w:r>
    </w:p>
    <w:p w:rsidR="007B4AE5" w:rsidRPr="003F4464" w:rsidRDefault="007B4AE5" w:rsidP="007B4AE5">
      <w:pPr>
        <w:pStyle w:val="box474667"/>
        <w:numPr>
          <w:ilvl w:val="1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Bookman Old Style" w:hAnsi="Bookman Old Style" w:cstheme="minorHAnsi"/>
          <w:b/>
          <w:color w:val="231F20"/>
        </w:rPr>
      </w:pPr>
      <w:r w:rsidRPr="003F4464">
        <w:rPr>
          <w:rFonts w:ascii="Bookman Old Style" w:hAnsi="Bookman Old Style" w:cstheme="minorHAnsi"/>
          <w:b/>
          <w:color w:val="231F20"/>
        </w:rPr>
        <w:t>Izvještaj o zaduživanju na domaćem i stranom tržištu novca i kapitala</w:t>
      </w:r>
    </w:p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theme="minorHAnsi"/>
          <w:color w:val="231F20"/>
        </w:rPr>
      </w:pPr>
      <w:r>
        <w:rPr>
          <w:rFonts w:ascii="Bookman Old Style" w:hAnsi="Bookman Old Style" w:cstheme="minorHAnsi"/>
          <w:color w:val="231F20"/>
        </w:rPr>
        <w:t xml:space="preserve">Turističko-ugostiteljska škola </w:t>
      </w:r>
      <w:r w:rsidRPr="003F4464">
        <w:rPr>
          <w:rFonts w:ascii="Bookman Old Style" w:hAnsi="Bookman Old Style" w:cstheme="minorHAnsi"/>
          <w:color w:val="231F20"/>
        </w:rPr>
        <w:t>Šibenik se u izvještajnom razdoblju nije zaduživala.</w:t>
      </w:r>
    </w:p>
    <w:p w:rsidR="007B4AE5" w:rsidRDefault="007B4AE5" w:rsidP="007B4AE5">
      <w:pPr>
        <w:pStyle w:val="box474667"/>
        <w:numPr>
          <w:ilvl w:val="1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Bookman Old Style" w:hAnsi="Bookman Old Style" w:cstheme="minorHAnsi"/>
          <w:b/>
          <w:color w:val="231F20"/>
        </w:rPr>
      </w:pPr>
      <w:r w:rsidRPr="003F4464">
        <w:rPr>
          <w:rFonts w:ascii="Bookman Old Style" w:hAnsi="Bookman Old Style" w:cstheme="minorHAnsi"/>
          <w:b/>
          <w:color w:val="231F20"/>
        </w:rPr>
        <w:t>Izvještaj o korištenju sredstava fondova Europske unije</w:t>
      </w:r>
    </w:p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theme="minorHAnsi"/>
          <w:color w:val="231F20"/>
        </w:rPr>
        <w:t xml:space="preserve">Turističko-ugostiteljska </w:t>
      </w:r>
      <w:r w:rsidRPr="003F4464">
        <w:rPr>
          <w:rFonts w:ascii="Bookman Old Style" w:hAnsi="Bookman Old Style" w:cstheme="minorHAnsi"/>
          <w:color w:val="231F20"/>
        </w:rPr>
        <w:t xml:space="preserve">škola Šibenik </w:t>
      </w:r>
      <w:r>
        <w:rPr>
          <w:rFonts w:ascii="Bookman Old Style" w:hAnsi="Bookman Old Style" w:cstheme="minorHAnsi"/>
          <w:color w:val="231F20"/>
        </w:rPr>
        <w:t xml:space="preserve">je </w:t>
      </w:r>
      <w:r w:rsidRPr="003F4464">
        <w:rPr>
          <w:rFonts w:ascii="Bookman Old Style" w:hAnsi="Bookman Old Style" w:cstheme="minorHAnsi"/>
          <w:color w:val="231F20"/>
        </w:rPr>
        <w:t xml:space="preserve">u </w:t>
      </w:r>
      <w:r>
        <w:rPr>
          <w:rFonts w:ascii="Bookman Old Style" w:hAnsi="Bookman Old Style" w:cstheme="minorHAnsi"/>
          <w:color w:val="231F20"/>
        </w:rPr>
        <w:t xml:space="preserve"> 2023. otpočela sa projektom ERASMUS+ </w:t>
      </w:r>
      <w:r w:rsidRPr="008621F1">
        <w:rPr>
          <w:rFonts w:ascii="Bookman Old Style" w:hAnsi="Bookman Old Style" w:cs="Arial"/>
          <w:bCs/>
          <w:color w:val="000000"/>
        </w:rPr>
        <w:t>Moje europsko strukovno iskustvo</w:t>
      </w:r>
      <w:r>
        <w:rPr>
          <w:rFonts w:ascii="Bookman Old Style" w:hAnsi="Bookman Old Style" w:cs="Arial"/>
          <w:bCs/>
          <w:color w:val="000000"/>
        </w:rPr>
        <w:t xml:space="preserve"> i završila ga do 30.09.2024.</w:t>
      </w:r>
    </w:p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Fonts w:ascii="Bookman Old Style" w:hAnsi="Bookman Old Style" w:cstheme="minorHAnsi"/>
          <w:color w:val="231F20"/>
        </w:rPr>
      </w:pPr>
      <w:r>
        <w:rPr>
          <w:rFonts w:ascii="Bookman Old Style" w:hAnsi="Bookman Old Style" w:cs="Arial"/>
          <w:bCs/>
          <w:color w:val="000000"/>
        </w:rPr>
        <w:t xml:space="preserve">     Projekt ERASMUS+2 započeo je 08.09.2024. i trajat će do 07.03.2026.g.</w:t>
      </w:r>
      <w:r w:rsidRPr="003F4464">
        <w:rPr>
          <w:rFonts w:ascii="Bookman Old Style" w:hAnsi="Bookman Old Style" w:cstheme="minorHAnsi"/>
          <w:color w:val="231F20"/>
        </w:rPr>
        <w:t xml:space="preserve"> </w:t>
      </w:r>
    </w:p>
    <w:tbl>
      <w:tblPr>
        <w:tblW w:w="11620" w:type="dxa"/>
        <w:jc w:val="center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691"/>
        <w:gridCol w:w="1867"/>
        <w:gridCol w:w="1223"/>
        <w:gridCol w:w="1143"/>
        <w:gridCol w:w="1443"/>
        <w:gridCol w:w="1443"/>
        <w:gridCol w:w="1439"/>
        <w:gridCol w:w="1371"/>
      </w:tblGrid>
      <w:tr w:rsidR="007B4AE5" w:rsidRPr="009849AC" w:rsidTr="0012696C">
        <w:trPr>
          <w:trHeight w:val="574"/>
          <w:jc w:val="center"/>
        </w:trPr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000000" w:fill="D9D9D9"/>
            <w:vAlign w:val="center"/>
            <w:hideMark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projekta sufinanciranog sredstvima EU</w:t>
            </w:r>
          </w:p>
        </w:tc>
        <w:tc>
          <w:tcPr>
            <w:tcW w:w="1867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000000" w:fill="D9D9D9"/>
            <w:noWrap/>
            <w:vAlign w:val="center"/>
            <w:hideMark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12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000000" w:fill="D9D9D9"/>
            <w:vAlign w:val="center"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ugovorena sredstva</w:t>
            </w:r>
          </w:p>
        </w:tc>
        <w:tc>
          <w:tcPr>
            <w:tcW w:w="114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000000" w:fill="D9D9D9"/>
            <w:vAlign w:val="center"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uplaćena sredstva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000000" w:fill="D9D9D9"/>
            <w:vAlign w:val="center"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Evidentirani prihodi i primici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000000" w:fill="D9D9D9"/>
            <w:vAlign w:val="center"/>
            <w:hideMark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Evidentirani rashodi i izdaci</w:t>
            </w: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000000" w:fill="D9D9D9"/>
            <w:vAlign w:val="center"/>
            <w:hideMark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potraživanja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000000" w:fill="D9D9D9"/>
            <w:vAlign w:val="center"/>
          </w:tcPr>
          <w:p w:rsidR="007B4AE5" w:rsidRPr="00534E7C" w:rsidRDefault="007B4AE5" w:rsidP="00B54AB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obveza za primljene predujmove</w:t>
            </w:r>
          </w:p>
        </w:tc>
      </w:tr>
      <w:tr w:rsidR="007B4AE5" w:rsidRPr="009849AC" w:rsidTr="0012696C">
        <w:trPr>
          <w:trHeight w:val="275"/>
          <w:jc w:val="center"/>
        </w:trPr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B4AE5" w:rsidRPr="00534E7C" w:rsidRDefault="007B4AE5" w:rsidP="00B54AB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ERASMUS+ KA 122-VET-000136190</w:t>
            </w:r>
          </w:p>
        </w:tc>
        <w:tc>
          <w:tcPr>
            <w:tcW w:w="1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B4AE5" w:rsidRPr="00534E7C" w:rsidRDefault="007B4AE5" w:rsidP="00B54AB0">
            <w:pPr>
              <w:spacing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34E7C">
              <w:rPr>
                <w:rFonts w:ascii="Bookman Old Style" w:hAnsi="Bookman Old Style" w:cs="Times New Roman"/>
                <w:sz w:val="20"/>
                <w:szCs w:val="20"/>
              </w:rPr>
              <w:t>TURISTIČKO-UGOSTITELJSKA ŠKOLA ŠIBENIK</w:t>
            </w:r>
          </w:p>
        </w:tc>
        <w:tc>
          <w:tcPr>
            <w:tcW w:w="1223" w:type="dxa"/>
            <w:tcBorders>
              <w:top w:val="single" w:sz="5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B4AE5" w:rsidRPr="00534E7C" w:rsidRDefault="007B4AE5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37.722,00</w:t>
            </w:r>
          </w:p>
        </w:tc>
        <w:tc>
          <w:tcPr>
            <w:tcW w:w="1143" w:type="dxa"/>
            <w:tcBorders>
              <w:top w:val="single" w:sz="5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AE5" w:rsidRPr="00534E7C" w:rsidRDefault="00894887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37.722,00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AE5" w:rsidRPr="00534E7C" w:rsidRDefault="00894887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37.722,00</w:t>
            </w:r>
          </w:p>
        </w:tc>
        <w:tc>
          <w:tcPr>
            <w:tcW w:w="1443" w:type="dxa"/>
            <w:tcBorders>
              <w:top w:val="single" w:sz="5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B4AE5" w:rsidRPr="00534E7C" w:rsidRDefault="00894887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37.071,56</w:t>
            </w:r>
          </w:p>
        </w:tc>
        <w:tc>
          <w:tcPr>
            <w:tcW w:w="1439" w:type="dxa"/>
            <w:tcBorders>
              <w:top w:val="single" w:sz="5" w:space="0" w:color="auto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noWrap/>
            <w:vAlign w:val="center"/>
          </w:tcPr>
          <w:p w:rsidR="007B4AE5" w:rsidRPr="00534E7C" w:rsidRDefault="00894887" w:rsidP="00894887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1" w:type="dxa"/>
            <w:tcBorders>
              <w:top w:val="single" w:sz="5" w:space="0" w:color="auto"/>
              <w:left w:val="nil"/>
              <w:bottom w:val="single" w:sz="2" w:space="0" w:color="auto"/>
              <w:right w:val="single" w:sz="5" w:space="0" w:color="auto"/>
            </w:tcBorders>
            <w:vAlign w:val="center"/>
          </w:tcPr>
          <w:p w:rsidR="007B4AE5" w:rsidRPr="00534E7C" w:rsidRDefault="00894887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B4AE5" w:rsidRPr="009849AC" w:rsidTr="0012696C">
        <w:trPr>
          <w:trHeight w:val="275"/>
          <w:jc w:val="center"/>
        </w:trPr>
        <w:tc>
          <w:tcPr>
            <w:tcW w:w="1691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B4AE5" w:rsidRPr="00534E7C" w:rsidRDefault="007B4AE5" w:rsidP="00B54AB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ERASMUS+2, KA122-VET 000230695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B4AE5" w:rsidRPr="00534E7C" w:rsidRDefault="007B4AE5" w:rsidP="00B54AB0">
            <w:pPr>
              <w:spacing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34E7C">
              <w:rPr>
                <w:rFonts w:ascii="Bookman Old Style" w:hAnsi="Bookman Old Style" w:cs="Times New Roman"/>
                <w:sz w:val="20"/>
                <w:szCs w:val="20"/>
              </w:rPr>
              <w:t>TURISTIČKO-UGOSTITELJSKA ŠKOLA ŠIBENIK</w:t>
            </w:r>
          </w:p>
        </w:tc>
        <w:tc>
          <w:tcPr>
            <w:tcW w:w="1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B4AE5" w:rsidRPr="00534E7C" w:rsidRDefault="007B4AE5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83.793,00</w:t>
            </w:r>
          </w:p>
        </w:tc>
        <w:tc>
          <w:tcPr>
            <w:tcW w:w="11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AE5" w:rsidRPr="00534E7C" w:rsidRDefault="007B4AE5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67.034,40</w:t>
            </w:r>
          </w:p>
        </w:tc>
        <w:tc>
          <w:tcPr>
            <w:tcW w:w="14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AE5" w:rsidRPr="00534E7C" w:rsidRDefault="007B4AE5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 w:rsidRPr="00534E7C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67.034,40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B4AE5" w:rsidRPr="00534E7C" w:rsidRDefault="00AA15B9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75.084,37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noWrap/>
            <w:vAlign w:val="center"/>
          </w:tcPr>
          <w:p w:rsidR="007B4AE5" w:rsidRPr="00534E7C" w:rsidRDefault="00AA15B9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16.758,60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vAlign w:val="center"/>
          </w:tcPr>
          <w:p w:rsidR="007B4AE5" w:rsidRPr="00534E7C" w:rsidRDefault="00AA15B9" w:rsidP="00B54AB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hr-HR"/>
              </w:rPr>
              <w:t>8.049,97</w:t>
            </w:r>
          </w:p>
        </w:tc>
      </w:tr>
    </w:tbl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2552"/>
        <w:gridCol w:w="1985"/>
        <w:gridCol w:w="2529"/>
        <w:gridCol w:w="2432"/>
      </w:tblGrid>
      <w:tr w:rsidR="007B4AE5" w:rsidTr="00C12A16">
        <w:tc>
          <w:tcPr>
            <w:tcW w:w="2552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lastRenderedPageBreak/>
              <w:t>EU FOND</w:t>
            </w:r>
          </w:p>
        </w:tc>
        <w:tc>
          <w:tcPr>
            <w:tcW w:w="1985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center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 xml:space="preserve">Datum </w:t>
            </w:r>
          </w:p>
        </w:tc>
        <w:tc>
          <w:tcPr>
            <w:tcW w:w="2529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Ukupno ugovorena sredstva u €</w:t>
            </w:r>
          </w:p>
        </w:tc>
        <w:tc>
          <w:tcPr>
            <w:tcW w:w="2432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Ukupno uplaćena sredstva u €</w:t>
            </w:r>
          </w:p>
        </w:tc>
      </w:tr>
      <w:tr w:rsidR="007B4AE5" w:rsidTr="00C12A16">
        <w:tc>
          <w:tcPr>
            <w:tcW w:w="2552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 xml:space="preserve">ERASMUS+ </w:t>
            </w:r>
            <w:r>
              <w:t>KA122-VET-000136190</w:t>
            </w:r>
          </w:p>
        </w:tc>
        <w:tc>
          <w:tcPr>
            <w:tcW w:w="1985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01.10.2023.-30.09.2024.</w:t>
            </w:r>
          </w:p>
        </w:tc>
        <w:tc>
          <w:tcPr>
            <w:tcW w:w="2529" w:type="dxa"/>
          </w:tcPr>
          <w:p w:rsidR="007B4AE5" w:rsidRDefault="007B4AE5" w:rsidP="00B54AB0">
            <w:pPr>
              <w:pStyle w:val="box474667"/>
              <w:spacing w:before="240" w:beforeAutospacing="0" w:after="48" w:afterAutospacing="0"/>
              <w:jc w:val="right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37.722,00</w:t>
            </w:r>
          </w:p>
        </w:tc>
        <w:tc>
          <w:tcPr>
            <w:tcW w:w="2432" w:type="dxa"/>
          </w:tcPr>
          <w:p w:rsidR="007B4AE5" w:rsidRDefault="00AA15B9" w:rsidP="00B54AB0">
            <w:pPr>
              <w:pStyle w:val="box474667"/>
              <w:spacing w:before="240" w:beforeAutospacing="0" w:after="48" w:afterAutospacing="0"/>
              <w:jc w:val="right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37.722,00</w:t>
            </w:r>
          </w:p>
        </w:tc>
      </w:tr>
      <w:tr w:rsidR="007B4AE5" w:rsidTr="00C12A16">
        <w:tc>
          <w:tcPr>
            <w:tcW w:w="2552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 xml:space="preserve">ERASMUS+2 </w:t>
            </w:r>
          </w:p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t>2024-1-HR01-KA122-VET-000230695</w:t>
            </w:r>
          </w:p>
        </w:tc>
        <w:tc>
          <w:tcPr>
            <w:tcW w:w="1985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08.09.2024.-07.03.2026.</w:t>
            </w:r>
          </w:p>
        </w:tc>
        <w:tc>
          <w:tcPr>
            <w:tcW w:w="2529" w:type="dxa"/>
          </w:tcPr>
          <w:p w:rsidR="007B4AE5" w:rsidRDefault="007B4AE5" w:rsidP="00B54AB0">
            <w:pPr>
              <w:pStyle w:val="box474667"/>
              <w:spacing w:before="240" w:beforeAutospacing="0" w:after="48" w:afterAutospacing="0"/>
              <w:jc w:val="right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83.793,00</w:t>
            </w:r>
          </w:p>
        </w:tc>
        <w:tc>
          <w:tcPr>
            <w:tcW w:w="2432" w:type="dxa"/>
          </w:tcPr>
          <w:p w:rsidR="007B4AE5" w:rsidRPr="00065088" w:rsidRDefault="007B4AE5" w:rsidP="00B54AB0">
            <w:pPr>
              <w:pStyle w:val="box474667"/>
              <w:spacing w:before="240" w:beforeAutospacing="0" w:after="48" w:afterAutospacing="0"/>
              <w:jc w:val="right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 w:rsidRPr="00065088">
              <w:rPr>
                <w:rFonts w:ascii="Bookman Old Style" w:hAnsi="Bookman Old Style"/>
              </w:rPr>
              <w:t>67.034,40</w:t>
            </w:r>
          </w:p>
        </w:tc>
      </w:tr>
      <w:tr w:rsidR="007B4AE5" w:rsidTr="00C12A16">
        <w:tc>
          <w:tcPr>
            <w:tcW w:w="2552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UKUPNO:</w:t>
            </w:r>
          </w:p>
        </w:tc>
        <w:tc>
          <w:tcPr>
            <w:tcW w:w="1985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both"/>
              <w:textAlignment w:val="baseline"/>
              <w:rPr>
                <w:rFonts w:ascii="Bookman Old Style" w:hAnsi="Bookman Old Style" w:cstheme="minorHAnsi"/>
                <w:color w:val="231F20"/>
              </w:rPr>
            </w:pPr>
          </w:p>
        </w:tc>
        <w:tc>
          <w:tcPr>
            <w:tcW w:w="2529" w:type="dxa"/>
          </w:tcPr>
          <w:p w:rsidR="007B4AE5" w:rsidRDefault="007B4AE5" w:rsidP="00B54AB0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159.237,00</w:t>
            </w:r>
          </w:p>
        </w:tc>
        <w:tc>
          <w:tcPr>
            <w:tcW w:w="2432" w:type="dxa"/>
          </w:tcPr>
          <w:p w:rsidR="007B4AE5" w:rsidRDefault="00C12A16" w:rsidP="00B54AB0">
            <w:pPr>
              <w:pStyle w:val="box474667"/>
              <w:spacing w:before="0" w:beforeAutospacing="0" w:after="48" w:afterAutospacing="0"/>
              <w:jc w:val="right"/>
              <w:textAlignment w:val="baseline"/>
              <w:rPr>
                <w:rFonts w:ascii="Bookman Old Style" w:hAnsi="Bookman Old Style" w:cstheme="minorHAnsi"/>
                <w:color w:val="231F20"/>
              </w:rPr>
            </w:pPr>
            <w:r>
              <w:rPr>
                <w:rFonts w:ascii="Bookman Old Style" w:hAnsi="Bookman Old Style" w:cstheme="minorHAnsi"/>
                <w:color w:val="231F20"/>
              </w:rPr>
              <w:t>104.756,40</w:t>
            </w:r>
          </w:p>
        </w:tc>
      </w:tr>
    </w:tbl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theme="minorHAnsi"/>
          <w:color w:val="231F20"/>
        </w:rPr>
      </w:pPr>
    </w:p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theme="minorHAnsi"/>
          <w:color w:val="231F20"/>
        </w:rPr>
      </w:pPr>
      <w:r>
        <w:rPr>
          <w:rFonts w:ascii="Bookman Old Style" w:hAnsi="Bookman Old Style" w:cstheme="minorHAnsi"/>
          <w:color w:val="231F20"/>
        </w:rPr>
        <w:t xml:space="preserve">Projekt ERASMUS+ je započeo u 2023.g i realiziran u potpunosti u ugovorenom roku. Završno izvješće predano i prihvaćeno. U siječnju 2025.uprihođen ostatak od 7.544,40€ od čega je 6.663,96€ povučeno iz izvora 1502- </w:t>
      </w:r>
      <w:proofErr w:type="spellStart"/>
      <w:r>
        <w:rPr>
          <w:rFonts w:ascii="Bookman Old Style" w:hAnsi="Bookman Old Style" w:cstheme="minorHAnsi"/>
          <w:color w:val="231F20"/>
        </w:rPr>
        <w:t>Predfinanc</w:t>
      </w:r>
      <w:proofErr w:type="spellEnd"/>
      <w:r>
        <w:rPr>
          <w:rFonts w:ascii="Bookman Old Style" w:hAnsi="Bookman Old Style" w:cstheme="minorHAnsi"/>
          <w:color w:val="231F20"/>
        </w:rPr>
        <w:t>. EU projekata iz sredstava ŠKŽ.</w:t>
      </w:r>
    </w:p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theme="minorHAnsi"/>
          <w:color w:val="231F20"/>
        </w:rPr>
      </w:pPr>
      <w:r>
        <w:rPr>
          <w:rFonts w:ascii="Bookman Old Style" w:hAnsi="Bookman Old Style" w:cstheme="minorHAnsi"/>
          <w:color w:val="231F20"/>
        </w:rPr>
        <w:t xml:space="preserve">Projekt ERASMUS+2 započeo u 2024.g. </w:t>
      </w:r>
      <w:r w:rsidR="00C12A16">
        <w:rPr>
          <w:rFonts w:ascii="Bookman Old Style" w:hAnsi="Bookman Old Style" w:cstheme="minorHAnsi"/>
          <w:color w:val="231F20"/>
        </w:rPr>
        <w:t xml:space="preserve">I u </w:t>
      </w:r>
      <w:r w:rsidR="00621B12">
        <w:rPr>
          <w:rFonts w:ascii="Bookman Old Style" w:hAnsi="Bookman Old Style" w:cstheme="minorHAnsi"/>
          <w:color w:val="231F20"/>
        </w:rPr>
        <w:t>toj godini g</w:t>
      </w:r>
      <w:r>
        <w:rPr>
          <w:rFonts w:ascii="Bookman Old Style" w:hAnsi="Bookman Old Style" w:cstheme="minorHAnsi"/>
          <w:color w:val="231F20"/>
        </w:rPr>
        <w:t xml:space="preserve">rupa učenika </w:t>
      </w:r>
      <w:r w:rsidR="00621B12">
        <w:rPr>
          <w:rFonts w:ascii="Bookman Old Style" w:hAnsi="Bookman Old Style" w:cstheme="minorHAnsi"/>
          <w:color w:val="231F20"/>
        </w:rPr>
        <w:t xml:space="preserve">je </w:t>
      </w:r>
      <w:r>
        <w:rPr>
          <w:rFonts w:ascii="Bookman Old Style" w:hAnsi="Bookman Old Style" w:cstheme="minorHAnsi"/>
          <w:color w:val="231F20"/>
        </w:rPr>
        <w:t xml:space="preserve">boravila dva tjedna u </w:t>
      </w:r>
      <w:proofErr w:type="spellStart"/>
      <w:r>
        <w:rPr>
          <w:rFonts w:ascii="Bookman Old Style" w:hAnsi="Bookman Old Style" w:cstheme="minorHAnsi"/>
          <w:color w:val="231F20"/>
        </w:rPr>
        <w:t>Salzburgu</w:t>
      </w:r>
      <w:proofErr w:type="spellEnd"/>
      <w:r>
        <w:rPr>
          <w:rFonts w:ascii="Bookman Old Style" w:hAnsi="Bookman Old Style" w:cstheme="minorHAnsi"/>
          <w:color w:val="231F20"/>
        </w:rPr>
        <w:t xml:space="preserve"> i </w:t>
      </w:r>
      <w:proofErr w:type="spellStart"/>
      <w:r>
        <w:rPr>
          <w:rFonts w:ascii="Bookman Old Style" w:hAnsi="Bookman Old Style" w:cstheme="minorHAnsi"/>
          <w:color w:val="231F20"/>
        </w:rPr>
        <w:t>Laipzigu</w:t>
      </w:r>
      <w:proofErr w:type="spellEnd"/>
      <w:r>
        <w:rPr>
          <w:rFonts w:ascii="Bookman Old Style" w:hAnsi="Bookman Old Style" w:cstheme="minorHAnsi"/>
          <w:color w:val="231F20"/>
        </w:rPr>
        <w:t>.</w:t>
      </w:r>
      <w:r w:rsidR="00C12A16">
        <w:rPr>
          <w:rFonts w:ascii="Bookman Old Style" w:hAnsi="Bookman Old Style" w:cstheme="minorHAnsi"/>
          <w:color w:val="231F20"/>
        </w:rPr>
        <w:t xml:space="preserve"> U 2025.g. grupa učenika boravila u Malagi u Španjolskoj</w:t>
      </w:r>
      <w:r w:rsidR="00621B12">
        <w:rPr>
          <w:rFonts w:ascii="Bookman Old Style" w:hAnsi="Bookman Old Style" w:cstheme="minorHAnsi"/>
          <w:color w:val="231F20"/>
        </w:rPr>
        <w:t>.</w:t>
      </w:r>
      <w:r w:rsidR="0012696C">
        <w:rPr>
          <w:rFonts w:ascii="Bookman Old Style" w:hAnsi="Bookman Old Style" w:cstheme="minorHAnsi"/>
          <w:color w:val="231F20"/>
        </w:rPr>
        <w:t xml:space="preserve"> U 2025.g. obavljene sve aktivnosti po projektu. Ukupni rashodi u cijelom periodu trajanja projekta su 75.084,37€ od čega je iz izvora </w:t>
      </w:r>
      <w:proofErr w:type="spellStart"/>
      <w:r w:rsidR="0012696C">
        <w:rPr>
          <w:rFonts w:ascii="Bookman Old Style" w:hAnsi="Bookman Old Style" w:cstheme="minorHAnsi"/>
          <w:color w:val="231F20"/>
        </w:rPr>
        <w:t>predfinanciranje</w:t>
      </w:r>
      <w:proofErr w:type="spellEnd"/>
      <w:r w:rsidR="0012696C">
        <w:rPr>
          <w:rFonts w:ascii="Bookman Old Style" w:hAnsi="Bookman Old Style" w:cstheme="minorHAnsi"/>
          <w:color w:val="231F20"/>
        </w:rPr>
        <w:t xml:space="preserve"> EU projekata povučeno 8.049,97€.</w:t>
      </w:r>
    </w:p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theme="minorHAnsi"/>
          <w:color w:val="231F20"/>
        </w:rPr>
      </w:pPr>
    </w:p>
    <w:p w:rsidR="007B4AE5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theme="minorHAnsi"/>
          <w:color w:val="231F20"/>
        </w:rPr>
      </w:pPr>
    </w:p>
    <w:p w:rsidR="007B4AE5" w:rsidRPr="003F4464" w:rsidRDefault="007B4AE5" w:rsidP="007B4AE5">
      <w:pPr>
        <w:pStyle w:val="box474667"/>
        <w:numPr>
          <w:ilvl w:val="1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Bookman Old Style" w:hAnsi="Bookman Old Style" w:cstheme="minorHAnsi"/>
          <w:b/>
          <w:color w:val="231F20"/>
        </w:rPr>
      </w:pPr>
      <w:r w:rsidRPr="003F4464">
        <w:rPr>
          <w:rFonts w:ascii="Bookman Old Style" w:hAnsi="Bookman Old Style" w:cstheme="minorHAnsi"/>
          <w:b/>
          <w:color w:val="231F20"/>
        </w:rPr>
        <w:t>Izvještaj o danim zajmovima i potraživanjima po danim zajmovima</w:t>
      </w:r>
    </w:p>
    <w:p w:rsidR="007B4AE5" w:rsidRPr="003F4464" w:rsidRDefault="00D14982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="Bookman Old Style" w:hAnsi="Bookman Old Style" w:cstheme="minorHAnsi"/>
          <w:color w:val="231F20"/>
        </w:rPr>
      </w:pPr>
      <w:r>
        <w:rPr>
          <w:rFonts w:ascii="Bookman Old Style" w:hAnsi="Bookman Old Style" w:cstheme="minorHAnsi"/>
          <w:color w:val="231F20"/>
        </w:rPr>
        <w:t xml:space="preserve"> </w:t>
      </w:r>
      <w:r w:rsidR="007B4AE5">
        <w:rPr>
          <w:rFonts w:ascii="Bookman Old Style" w:hAnsi="Bookman Old Style" w:cstheme="minorHAnsi"/>
          <w:color w:val="231F20"/>
        </w:rPr>
        <w:t xml:space="preserve">Turističko-ugostiteljska škola </w:t>
      </w:r>
      <w:r w:rsidR="007B4AE5" w:rsidRPr="003F4464">
        <w:rPr>
          <w:rFonts w:ascii="Bookman Old Style" w:hAnsi="Bookman Old Style" w:cstheme="minorHAnsi"/>
          <w:color w:val="231F20"/>
        </w:rPr>
        <w:t xml:space="preserve">Šibenik u izvještajnom razdoblju nije </w:t>
      </w:r>
      <w:r w:rsidR="007B4AE5">
        <w:rPr>
          <w:rFonts w:ascii="Bookman Old Style" w:hAnsi="Bookman Old Style" w:cstheme="minorHAnsi"/>
          <w:color w:val="231F20"/>
        </w:rPr>
        <w:t xml:space="preserve"> </w:t>
      </w:r>
      <w:r w:rsidR="007B4AE5" w:rsidRPr="003F4464">
        <w:rPr>
          <w:rFonts w:ascii="Bookman Old Style" w:hAnsi="Bookman Old Style" w:cstheme="minorHAnsi"/>
          <w:color w:val="231F20"/>
        </w:rPr>
        <w:t>davala zajmove niti ima potraživanja.</w:t>
      </w:r>
    </w:p>
    <w:p w:rsidR="007B4AE5" w:rsidRPr="003F4464" w:rsidRDefault="007B4AE5" w:rsidP="007B4AE5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="Bookman Old Style" w:hAnsi="Bookman Old Style" w:cstheme="minorHAnsi"/>
          <w:b/>
          <w:color w:val="231F20"/>
        </w:rPr>
      </w:pPr>
    </w:p>
    <w:p w:rsidR="007B4AE5" w:rsidRPr="003F4464" w:rsidRDefault="007B4AE5" w:rsidP="007B4AE5">
      <w:pPr>
        <w:pStyle w:val="box474667"/>
        <w:numPr>
          <w:ilvl w:val="1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Bookman Old Style" w:hAnsi="Bookman Old Style" w:cstheme="minorHAnsi"/>
          <w:b/>
          <w:color w:val="231F20"/>
        </w:rPr>
      </w:pPr>
      <w:r w:rsidRPr="003F4464">
        <w:rPr>
          <w:rFonts w:ascii="Bookman Old Style" w:hAnsi="Bookman Old Style" w:cstheme="minorHAnsi"/>
          <w:b/>
          <w:color w:val="231F20"/>
        </w:rPr>
        <w:t>Izvještaj o stanju potraživanja i dospjelih obveza te o stanju potencijalnih obveza po osnovi sudskih sporova.</w:t>
      </w:r>
    </w:p>
    <w:p w:rsidR="007B4AE5" w:rsidRDefault="00D14982" w:rsidP="007B4AE5">
      <w:pPr>
        <w:spacing w:before="60" w:after="60" w:line="240" w:lineRule="auto"/>
        <w:ind w:left="357" w:firstLine="35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</w:t>
      </w:r>
      <w:bookmarkStart w:id="0" w:name="_GoBack"/>
      <w:bookmarkEnd w:id="0"/>
      <w:r w:rsidR="007B4AE5">
        <w:rPr>
          <w:rFonts w:ascii="Bookman Old Style" w:hAnsi="Bookman Old Style" w:cs="Calibri"/>
          <w:sz w:val="24"/>
          <w:szCs w:val="24"/>
        </w:rPr>
        <w:t>Turističko-ugostiteljska š</w:t>
      </w:r>
      <w:r w:rsidR="007B4AE5" w:rsidRPr="003F4464">
        <w:rPr>
          <w:rFonts w:ascii="Bookman Old Style" w:hAnsi="Bookman Old Style" w:cs="Calibri"/>
          <w:sz w:val="24"/>
          <w:szCs w:val="24"/>
        </w:rPr>
        <w:t xml:space="preserve">kola Šibenik </w:t>
      </w:r>
      <w:r w:rsidR="007B4AE5">
        <w:rPr>
          <w:rFonts w:ascii="Bookman Old Style" w:hAnsi="Bookman Old Style" w:cs="Calibri"/>
          <w:sz w:val="24"/>
          <w:szCs w:val="24"/>
        </w:rPr>
        <w:t xml:space="preserve">nema potraživanja i dospjelih obveza niti potencijalnih obveza po osnovi sudskih sporova. </w:t>
      </w:r>
    </w:p>
    <w:p w:rsidR="000A168D" w:rsidRPr="000A168D" w:rsidRDefault="000A168D" w:rsidP="000A168D">
      <w:pPr>
        <w:pStyle w:val="box474667"/>
        <w:spacing w:before="0" w:beforeAutospacing="0" w:after="0" w:afterAutospacing="0"/>
        <w:ind w:left="426"/>
        <w:jc w:val="both"/>
        <w:rPr>
          <w:rFonts w:ascii="Bookman Old Style" w:hAnsi="Bookman Old Style"/>
          <w:b/>
        </w:rPr>
      </w:pPr>
      <w:r w:rsidRPr="000A168D">
        <w:rPr>
          <w:rFonts w:ascii="Bookman Old Style" w:hAnsi="Bookman Old Style"/>
          <w:b/>
        </w:rPr>
        <w:t>4.5.</w:t>
      </w:r>
      <w:r w:rsidRPr="000A168D">
        <w:rPr>
          <w:rFonts w:ascii="Bookman Old Style" w:hAnsi="Bookman Old Style"/>
          <w:b/>
        </w:rPr>
        <w:t xml:space="preserve">    </w:t>
      </w:r>
      <w:r w:rsidRPr="000A168D">
        <w:rPr>
          <w:rFonts w:ascii="Bookman Old Style" w:hAnsi="Bookman Old Style"/>
          <w:b/>
        </w:rPr>
        <w:t xml:space="preserve"> Izvještaj o danim jamstvima i plaćanjima po protestiranim </w:t>
      </w:r>
    </w:p>
    <w:p w:rsidR="000A168D" w:rsidRPr="000A168D" w:rsidRDefault="000A168D" w:rsidP="000A168D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0A168D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Pr="000A168D">
        <w:rPr>
          <w:rFonts w:ascii="Bookman Old Style" w:hAnsi="Bookman Old Style"/>
          <w:b/>
          <w:sz w:val="24"/>
          <w:szCs w:val="24"/>
        </w:rPr>
        <w:t>jamstvima</w:t>
      </w:r>
    </w:p>
    <w:p w:rsidR="007B4AE5" w:rsidRDefault="00D14982" w:rsidP="000A168D">
      <w:pPr>
        <w:spacing w:before="60" w:after="6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      </w:t>
      </w:r>
      <w:r w:rsidR="000A168D">
        <w:rPr>
          <w:rFonts w:ascii="Bookman Old Style" w:hAnsi="Bookman Old Style" w:cs="Calibri"/>
          <w:sz w:val="24"/>
          <w:szCs w:val="24"/>
        </w:rPr>
        <w:t>Turističko-ugostiteljska škola Šibenik nije imala danih jamstava i plaćanja po protestiranim jamstvima u 2025.g.</w:t>
      </w:r>
    </w:p>
    <w:p w:rsidR="006C3B4F" w:rsidRDefault="00FA61DB" w:rsidP="00FA61DB">
      <w:pPr>
        <w:spacing w:before="60" w:after="60" w:line="240" w:lineRule="auto"/>
        <w:ind w:left="357" w:firstLine="357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FA61DB" w:rsidRDefault="006C3B4F" w:rsidP="00FA61DB">
      <w:pPr>
        <w:spacing w:before="60" w:after="60" w:line="240" w:lineRule="auto"/>
        <w:ind w:left="357" w:firstLine="357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A61DB">
        <w:rPr>
          <w:rFonts w:ascii="Bookman Old Style" w:hAnsi="Bookman Old Style" w:cs="Times New Roman"/>
          <w:sz w:val="24"/>
          <w:szCs w:val="24"/>
        </w:rPr>
        <w:tab/>
      </w:r>
      <w:r w:rsidR="00FA61DB">
        <w:rPr>
          <w:rFonts w:ascii="Bookman Old Style" w:hAnsi="Bookman Old Style" w:cs="Times New Roman"/>
          <w:sz w:val="24"/>
          <w:szCs w:val="24"/>
        </w:rPr>
        <w:tab/>
      </w:r>
      <w:r w:rsidR="00FA61DB">
        <w:rPr>
          <w:rFonts w:ascii="Bookman Old Style" w:hAnsi="Bookman Old Style" w:cs="Times New Roman"/>
          <w:sz w:val="24"/>
          <w:szCs w:val="24"/>
        </w:rPr>
        <w:tab/>
      </w:r>
      <w:r w:rsidR="00FA61DB">
        <w:rPr>
          <w:rFonts w:ascii="Bookman Old Style" w:hAnsi="Bookman Old Style" w:cs="Times New Roman"/>
          <w:sz w:val="24"/>
          <w:szCs w:val="24"/>
        </w:rPr>
        <w:tab/>
      </w:r>
      <w:r w:rsidR="00FA61DB">
        <w:rPr>
          <w:rFonts w:ascii="Bookman Old Style" w:hAnsi="Bookman Old Style" w:cs="Times New Roman"/>
          <w:sz w:val="24"/>
          <w:szCs w:val="24"/>
        </w:rPr>
        <w:tab/>
        <w:t>Ravnateljica:</w:t>
      </w:r>
    </w:p>
    <w:p w:rsidR="00FA61DB" w:rsidRDefault="00FA61DB" w:rsidP="00F07A35">
      <w:pPr>
        <w:spacing w:before="60" w:after="60" w:line="240" w:lineRule="auto"/>
        <w:jc w:val="both"/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Senka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Dodig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dip.oec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</w:p>
    <w:sectPr w:rsidR="00FA61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4A" w:rsidRDefault="0072484A">
      <w:pPr>
        <w:spacing w:after="0" w:line="240" w:lineRule="auto"/>
      </w:pPr>
      <w:r>
        <w:separator/>
      </w:r>
    </w:p>
  </w:endnote>
  <w:endnote w:type="continuationSeparator" w:id="0">
    <w:p w:rsidR="0072484A" w:rsidRDefault="0072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6C" w:rsidRDefault="0012696C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4A" w:rsidRDefault="0072484A">
      <w:pPr>
        <w:spacing w:after="0" w:line="240" w:lineRule="auto"/>
      </w:pPr>
      <w:r>
        <w:separator/>
      </w:r>
    </w:p>
  </w:footnote>
  <w:footnote w:type="continuationSeparator" w:id="0">
    <w:p w:rsidR="0072484A" w:rsidRDefault="0072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6C" w:rsidRDefault="0012696C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CC1"/>
    <w:multiLevelType w:val="hybridMultilevel"/>
    <w:tmpl w:val="A986E722"/>
    <w:lvl w:ilvl="0" w:tplc="CFE8836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F1F"/>
    <w:multiLevelType w:val="hybridMultilevel"/>
    <w:tmpl w:val="8A2AF6A6"/>
    <w:lvl w:ilvl="0" w:tplc="96D28A70">
      <w:start w:val="6"/>
      <w:numFmt w:val="bullet"/>
      <w:lvlText w:val="-"/>
      <w:lvlJc w:val="left"/>
      <w:pPr>
        <w:ind w:left="1125" w:hanging="360"/>
      </w:pPr>
      <w:rPr>
        <w:rFonts w:ascii="Bookman Old Style" w:eastAsiaTheme="minorHAnsi" w:hAnsi="Bookman Old Style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EA22291"/>
    <w:multiLevelType w:val="hybridMultilevel"/>
    <w:tmpl w:val="BB16B2BA"/>
    <w:lvl w:ilvl="0" w:tplc="CFE88364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8FE4305"/>
    <w:multiLevelType w:val="hybridMultilevel"/>
    <w:tmpl w:val="A50C5EE2"/>
    <w:lvl w:ilvl="0" w:tplc="6A801D82">
      <w:start w:val="1"/>
      <w:numFmt w:val="decimal"/>
      <w:lvlText w:val="%1."/>
      <w:lvlJc w:val="left"/>
      <w:pPr>
        <w:ind w:left="1128" w:hanging="360"/>
      </w:pPr>
      <w:rPr>
        <w:rFonts w:ascii="Bookman Old Style" w:eastAsia="Times New Roman" w:hAnsi="Bookman Old Style" w:cs="Calibri"/>
      </w:r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2F6A2F0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980169"/>
    <w:multiLevelType w:val="multilevel"/>
    <w:tmpl w:val="92AC362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46161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2E50ED"/>
    <w:multiLevelType w:val="multilevel"/>
    <w:tmpl w:val="51FA4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572AA"/>
    <w:multiLevelType w:val="hybridMultilevel"/>
    <w:tmpl w:val="072C5CEA"/>
    <w:lvl w:ilvl="0" w:tplc="8DEE8BC8">
      <w:start w:val="7"/>
      <w:numFmt w:val="bullet"/>
      <w:lvlText w:val="-"/>
      <w:lvlJc w:val="left"/>
      <w:pPr>
        <w:ind w:left="660" w:hanging="360"/>
      </w:pPr>
      <w:rPr>
        <w:rFonts w:ascii="Bookman Old Style" w:eastAsiaTheme="minorHAnsi" w:hAnsi="Bookman Old Style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DCD57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A3A4481"/>
    <w:multiLevelType w:val="hybridMultilevel"/>
    <w:tmpl w:val="ACEA0CB2"/>
    <w:lvl w:ilvl="0" w:tplc="CFE88364"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E0"/>
    <w:rsid w:val="00024714"/>
    <w:rsid w:val="00026A44"/>
    <w:rsid w:val="00034376"/>
    <w:rsid w:val="00054B13"/>
    <w:rsid w:val="00055B86"/>
    <w:rsid w:val="00065088"/>
    <w:rsid w:val="00084506"/>
    <w:rsid w:val="000A01C0"/>
    <w:rsid w:val="000A168D"/>
    <w:rsid w:val="000A53B0"/>
    <w:rsid w:val="000A6DA5"/>
    <w:rsid w:val="000C18A2"/>
    <w:rsid w:val="000F1F5B"/>
    <w:rsid w:val="00100A9F"/>
    <w:rsid w:val="0010313F"/>
    <w:rsid w:val="001230A0"/>
    <w:rsid w:val="001251F0"/>
    <w:rsid w:val="0012696C"/>
    <w:rsid w:val="00174EE5"/>
    <w:rsid w:val="001A5E89"/>
    <w:rsid w:val="0020307D"/>
    <w:rsid w:val="00243799"/>
    <w:rsid w:val="002515C5"/>
    <w:rsid w:val="00285DE9"/>
    <w:rsid w:val="002A45A6"/>
    <w:rsid w:val="002A700E"/>
    <w:rsid w:val="002C4C43"/>
    <w:rsid w:val="002D1529"/>
    <w:rsid w:val="002F6129"/>
    <w:rsid w:val="00345525"/>
    <w:rsid w:val="00361BF9"/>
    <w:rsid w:val="00366A17"/>
    <w:rsid w:val="00392307"/>
    <w:rsid w:val="003A2913"/>
    <w:rsid w:val="003A45B0"/>
    <w:rsid w:val="003B17DB"/>
    <w:rsid w:val="003B64BD"/>
    <w:rsid w:val="003D046C"/>
    <w:rsid w:val="003D5966"/>
    <w:rsid w:val="003D5D41"/>
    <w:rsid w:val="003E5317"/>
    <w:rsid w:val="003E6428"/>
    <w:rsid w:val="003F6B19"/>
    <w:rsid w:val="004114EA"/>
    <w:rsid w:val="00416897"/>
    <w:rsid w:val="00477C66"/>
    <w:rsid w:val="0049226D"/>
    <w:rsid w:val="004C4390"/>
    <w:rsid w:val="004D26FE"/>
    <w:rsid w:val="0051043A"/>
    <w:rsid w:val="00520A97"/>
    <w:rsid w:val="0052367F"/>
    <w:rsid w:val="00524BC3"/>
    <w:rsid w:val="00534E7C"/>
    <w:rsid w:val="005452EE"/>
    <w:rsid w:val="00554911"/>
    <w:rsid w:val="00573AC5"/>
    <w:rsid w:val="00577D11"/>
    <w:rsid w:val="005934CA"/>
    <w:rsid w:val="005D73D4"/>
    <w:rsid w:val="005D7B37"/>
    <w:rsid w:val="005E47CE"/>
    <w:rsid w:val="00614156"/>
    <w:rsid w:val="00621B12"/>
    <w:rsid w:val="006569FD"/>
    <w:rsid w:val="00681349"/>
    <w:rsid w:val="00686613"/>
    <w:rsid w:val="006C3B4F"/>
    <w:rsid w:val="006C5631"/>
    <w:rsid w:val="006D2F9C"/>
    <w:rsid w:val="006E3690"/>
    <w:rsid w:val="006E36AF"/>
    <w:rsid w:val="006E5460"/>
    <w:rsid w:val="00712393"/>
    <w:rsid w:val="00721B73"/>
    <w:rsid w:val="0072484A"/>
    <w:rsid w:val="00726EB4"/>
    <w:rsid w:val="007272A0"/>
    <w:rsid w:val="007301CB"/>
    <w:rsid w:val="007319A6"/>
    <w:rsid w:val="00766ABA"/>
    <w:rsid w:val="00786C9B"/>
    <w:rsid w:val="007927CB"/>
    <w:rsid w:val="007B4AE5"/>
    <w:rsid w:val="007B5F63"/>
    <w:rsid w:val="007B7B79"/>
    <w:rsid w:val="007C2FF9"/>
    <w:rsid w:val="007E4DA4"/>
    <w:rsid w:val="007E4E95"/>
    <w:rsid w:val="008136A4"/>
    <w:rsid w:val="00814E21"/>
    <w:rsid w:val="00830C3B"/>
    <w:rsid w:val="00840656"/>
    <w:rsid w:val="00840AB3"/>
    <w:rsid w:val="008420F4"/>
    <w:rsid w:val="0084269F"/>
    <w:rsid w:val="00855E3B"/>
    <w:rsid w:val="00894887"/>
    <w:rsid w:val="00897CB0"/>
    <w:rsid w:val="008A5DB5"/>
    <w:rsid w:val="008B6B11"/>
    <w:rsid w:val="008E6B7C"/>
    <w:rsid w:val="0091483E"/>
    <w:rsid w:val="009301B0"/>
    <w:rsid w:val="00932B5B"/>
    <w:rsid w:val="00932FD6"/>
    <w:rsid w:val="00950678"/>
    <w:rsid w:val="009A4040"/>
    <w:rsid w:val="009D601B"/>
    <w:rsid w:val="009E03F4"/>
    <w:rsid w:val="009E3CC2"/>
    <w:rsid w:val="009E69B9"/>
    <w:rsid w:val="00A16CE0"/>
    <w:rsid w:val="00A27920"/>
    <w:rsid w:val="00A56D22"/>
    <w:rsid w:val="00A71812"/>
    <w:rsid w:val="00A95B9C"/>
    <w:rsid w:val="00AA15B9"/>
    <w:rsid w:val="00AA2606"/>
    <w:rsid w:val="00AA6A7F"/>
    <w:rsid w:val="00AB7C17"/>
    <w:rsid w:val="00AC0A31"/>
    <w:rsid w:val="00AF4885"/>
    <w:rsid w:val="00B101AF"/>
    <w:rsid w:val="00B31B07"/>
    <w:rsid w:val="00B54AB0"/>
    <w:rsid w:val="00B70029"/>
    <w:rsid w:val="00B83D56"/>
    <w:rsid w:val="00B95967"/>
    <w:rsid w:val="00B965D3"/>
    <w:rsid w:val="00BA756A"/>
    <w:rsid w:val="00BC20F3"/>
    <w:rsid w:val="00C12A16"/>
    <w:rsid w:val="00C30E90"/>
    <w:rsid w:val="00C56A6A"/>
    <w:rsid w:val="00C94617"/>
    <w:rsid w:val="00C964DD"/>
    <w:rsid w:val="00CC1FD4"/>
    <w:rsid w:val="00CE6B5B"/>
    <w:rsid w:val="00CF4915"/>
    <w:rsid w:val="00D14982"/>
    <w:rsid w:val="00D50CD7"/>
    <w:rsid w:val="00DA375A"/>
    <w:rsid w:val="00DB0C21"/>
    <w:rsid w:val="00E65B36"/>
    <w:rsid w:val="00E704EE"/>
    <w:rsid w:val="00E74F2A"/>
    <w:rsid w:val="00E83003"/>
    <w:rsid w:val="00EB07E3"/>
    <w:rsid w:val="00EB1347"/>
    <w:rsid w:val="00EB1C31"/>
    <w:rsid w:val="00EE408D"/>
    <w:rsid w:val="00F01625"/>
    <w:rsid w:val="00F07A35"/>
    <w:rsid w:val="00F40CB6"/>
    <w:rsid w:val="00F46A27"/>
    <w:rsid w:val="00F6356F"/>
    <w:rsid w:val="00F8100C"/>
    <w:rsid w:val="00F81A61"/>
    <w:rsid w:val="00F86D59"/>
    <w:rsid w:val="00FA61DB"/>
    <w:rsid w:val="00FC2E8A"/>
    <w:rsid w:val="00FD1EA8"/>
    <w:rsid w:val="00FE2BF9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7E09"/>
  <w15:chartTrackingRefBased/>
  <w15:docId w15:val="{10DA3FDD-79AB-45E8-995E-2DE0036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C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4667">
    <w:name w:val="box_474667"/>
    <w:basedOn w:val="Normal"/>
    <w:rsid w:val="0078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86C9B"/>
    <w:pPr>
      <w:ind w:left="720"/>
      <w:contextualSpacing/>
    </w:pPr>
  </w:style>
  <w:style w:type="character" w:customStyle="1" w:styleId="CharacterStyle8">
    <w:name w:val="CharacterStyle8"/>
    <w:hidden/>
    <w:rsid w:val="00FD1EA8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table" w:styleId="Reetkatablice">
    <w:name w:val="Table Grid"/>
    <w:basedOn w:val="Obinatablica"/>
    <w:uiPriority w:val="39"/>
    <w:rsid w:val="00FD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4DD"/>
    <w:rPr>
      <w:rFonts w:ascii="Segoe UI" w:hAnsi="Segoe UI" w:cs="Segoe UI"/>
      <w:sz w:val="18"/>
      <w:szCs w:val="18"/>
    </w:rPr>
  </w:style>
  <w:style w:type="character" w:customStyle="1" w:styleId="FakeCharacterStyle">
    <w:name w:val="FakeCharacterStyle"/>
    <w:hidden/>
    <w:rsid w:val="00A71812"/>
    <w:rPr>
      <w:sz w:val="1"/>
      <w:szCs w:val="1"/>
    </w:rPr>
  </w:style>
  <w:style w:type="paragraph" w:customStyle="1" w:styleId="ParagraphStyle2">
    <w:name w:val="ParagraphStyle2"/>
    <w:hidden/>
    <w:rsid w:val="00366A17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366A17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366A17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366A17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366A1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366A17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366A17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366A1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366A17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366A17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2">
    <w:name w:val="ParagraphStyle12"/>
    <w:hidden/>
    <w:rsid w:val="00366A1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3">
    <w:name w:val="ParagraphStyle13"/>
    <w:hidden/>
    <w:rsid w:val="00366A17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hidden/>
    <w:rsid w:val="00366A17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2">
    <w:name w:val="CharacterStyle2"/>
    <w:hidden/>
    <w:rsid w:val="00366A17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sid w:val="00366A17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66A17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sid w:val="00366A17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6">
    <w:name w:val="CharacterStyle6"/>
    <w:hidden/>
    <w:rsid w:val="00366A17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366A17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366A17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366A17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366A17"/>
    <w:rPr>
      <w:rFonts w:ascii="Arial" w:eastAsia="Arial" w:hAnsi="Arial" w:cs="Arial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366A17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366A17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366A17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F746-9431-45F4-8595-17BDAA7C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15</Pages>
  <Words>4190</Words>
  <Characters>23887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</dc:creator>
  <cp:keywords/>
  <dc:description/>
  <cp:lastModifiedBy>Zlatka</cp:lastModifiedBy>
  <cp:revision>22</cp:revision>
  <cp:lastPrinted>2026-03-27T11:41:00Z</cp:lastPrinted>
  <dcterms:created xsi:type="dcterms:W3CDTF">2026-03-26T09:33:00Z</dcterms:created>
  <dcterms:modified xsi:type="dcterms:W3CDTF">2026-04-08T09:14:00Z</dcterms:modified>
</cp:coreProperties>
</file>